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64CBF" w14:textId="46360CC7" w:rsidR="0050326E" w:rsidRDefault="00556690" w:rsidP="00680DAD">
      <w:pPr>
        <w:pBdr>
          <w:bottom w:val="single" w:sz="4" w:space="1" w:color="auto"/>
        </w:pBdr>
        <w:jc w:val="center"/>
        <w:rPr>
          <w:b/>
          <w:sz w:val="24"/>
        </w:rPr>
      </w:pPr>
      <w:r w:rsidRPr="008F7A8E">
        <w:rPr>
          <w:b/>
          <w:sz w:val="24"/>
        </w:rPr>
        <w:t>BEACON A</w:t>
      </w:r>
      <w:r w:rsidR="00D03854" w:rsidRPr="008F7A8E">
        <w:rPr>
          <w:b/>
          <w:sz w:val="24"/>
        </w:rPr>
        <w:t>CTIO</w:t>
      </w:r>
      <w:r w:rsidR="004F1679" w:rsidRPr="008F7A8E">
        <w:rPr>
          <w:b/>
          <w:sz w:val="24"/>
        </w:rPr>
        <w:t>N</w:t>
      </w:r>
      <w:r w:rsidR="00BA32FD" w:rsidRPr="008F7A8E">
        <w:rPr>
          <w:b/>
          <w:sz w:val="24"/>
        </w:rPr>
        <w:t xml:space="preserve"> P</w:t>
      </w:r>
      <w:r w:rsidR="004F1679" w:rsidRPr="008F7A8E">
        <w:rPr>
          <w:b/>
          <w:sz w:val="24"/>
        </w:rPr>
        <w:t>LAN</w:t>
      </w:r>
      <w:r w:rsidR="00BA32FD" w:rsidRPr="008F7A8E">
        <w:rPr>
          <w:b/>
          <w:sz w:val="24"/>
        </w:rPr>
        <w:t xml:space="preserve"> M</w:t>
      </w:r>
      <w:r w:rsidR="004F1679" w:rsidRPr="008F7A8E">
        <w:rPr>
          <w:b/>
          <w:sz w:val="24"/>
        </w:rPr>
        <w:t>ONITORING</w:t>
      </w:r>
      <w:r w:rsidR="0050326E">
        <w:rPr>
          <w:b/>
          <w:sz w:val="24"/>
        </w:rPr>
        <w:t xml:space="preserve"> (</w:t>
      </w:r>
      <w:r w:rsidR="00AA563B">
        <w:rPr>
          <w:b/>
          <w:sz w:val="24"/>
        </w:rPr>
        <w:t>November</w:t>
      </w:r>
      <w:r w:rsidR="0050326E">
        <w:rPr>
          <w:b/>
          <w:sz w:val="24"/>
        </w:rPr>
        <w:t xml:space="preserve"> 2021)</w:t>
      </w:r>
    </w:p>
    <w:p w14:paraId="7A98CC28" w14:textId="77777777" w:rsidR="00A26203" w:rsidRPr="001514B1" w:rsidRDefault="00A26203" w:rsidP="00A26203">
      <w:pPr>
        <w:ind w:right="269"/>
        <w:rPr>
          <w:rFonts w:ascii="Calibri" w:eastAsia="Calibri" w:hAnsi="Calibri" w:cs="Times New Roman"/>
          <w:b/>
          <w:bCs/>
          <w:sz w:val="24"/>
          <w:szCs w:val="24"/>
        </w:rPr>
      </w:pPr>
      <w:r w:rsidRPr="001514B1">
        <w:rPr>
          <w:rFonts w:ascii="Calibri" w:eastAsia="Calibri" w:hAnsi="Calibri" w:cs="Times New Roman"/>
          <w:b/>
          <w:bCs/>
          <w:sz w:val="24"/>
          <w:szCs w:val="24"/>
        </w:rPr>
        <w:t>BEACON’s Vision is</w:t>
      </w:r>
    </w:p>
    <w:p w14:paraId="5E0AFD89" w14:textId="1E9188A2" w:rsidR="00A26203" w:rsidRDefault="00A26203" w:rsidP="00A26203">
      <w:pPr>
        <w:jc w:val="center"/>
        <w:rPr>
          <w:b/>
          <w:sz w:val="24"/>
        </w:rPr>
      </w:pPr>
      <w:r w:rsidRPr="0069792E">
        <w:rPr>
          <w:rFonts w:ascii="Calibri" w:eastAsia="Calibri" w:hAnsi="Calibri" w:cs="Times New Roman"/>
          <w:i/>
          <w:iCs/>
          <w:sz w:val="24"/>
          <w:szCs w:val="24"/>
        </w:rPr>
        <w:t>To have a healthy land and river catchment where people and our natural wildlife thrive. This will be achieved through evidence</w:t>
      </w:r>
      <w:r>
        <w:rPr>
          <w:rFonts w:ascii="Calibri" w:eastAsia="Calibri" w:hAnsi="Calibri" w:cs="Times New Roman"/>
          <w:i/>
          <w:iCs/>
          <w:sz w:val="24"/>
          <w:szCs w:val="24"/>
        </w:rPr>
        <w:t>-</w:t>
      </w:r>
      <w:r w:rsidRPr="0069792E">
        <w:rPr>
          <w:rFonts w:ascii="Calibri" w:eastAsia="Calibri" w:hAnsi="Calibri" w:cs="Times New Roman"/>
          <w:i/>
          <w:iCs/>
          <w:sz w:val="24"/>
          <w:szCs w:val="24"/>
        </w:rPr>
        <w:t>led local action, surveys and monitoring, education</w:t>
      </w:r>
      <w:r>
        <w:rPr>
          <w:rFonts w:ascii="Calibri" w:eastAsia="Calibri" w:hAnsi="Calibri" w:cs="Times New Roman"/>
          <w:i/>
          <w:iCs/>
          <w:sz w:val="24"/>
          <w:szCs w:val="24"/>
        </w:rPr>
        <w:t xml:space="preserve"> and</w:t>
      </w:r>
      <w:r w:rsidRPr="0069792E">
        <w:rPr>
          <w:rFonts w:ascii="Calibri" w:eastAsia="Calibri" w:hAnsi="Calibri" w:cs="Times New Roman"/>
          <w:i/>
          <w:iCs/>
          <w:sz w:val="24"/>
          <w:szCs w:val="24"/>
        </w:rPr>
        <w:t xml:space="preserve"> awareness raising.</w:t>
      </w:r>
      <w:r>
        <w:t xml:space="preserve"> </w:t>
      </w:r>
    </w:p>
    <w:p w14:paraId="71E125B6" w14:textId="1C749B47" w:rsidR="001514B1" w:rsidRPr="00837036" w:rsidRDefault="001514B1" w:rsidP="001514B1">
      <w:pPr>
        <w:rPr>
          <w:b/>
          <w:sz w:val="24"/>
        </w:rPr>
      </w:pPr>
      <w:r w:rsidRPr="00326C83">
        <w:rPr>
          <w:rFonts w:ascii="Calibri" w:eastAsia="Calibri" w:hAnsi="Calibri" w:cs="Times New Roman"/>
          <w:sz w:val="24"/>
          <w:szCs w:val="24"/>
        </w:rPr>
        <w:t xml:space="preserve">This is the </w:t>
      </w:r>
      <w:r w:rsidR="00AA563B">
        <w:rPr>
          <w:rFonts w:ascii="Calibri" w:eastAsia="Calibri" w:hAnsi="Calibri" w:cs="Times New Roman"/>
          <w:sz w:val="24"/>
          <w:szCs w:val="24"/>
        </w:rPr>
        <w:t>second</w:t>
      </w:r>
      <w:r w:rsidRPr="00326C83">
        <w:rPr>
          <w:rFonts w:ascii="Calibri" w:eastAsia="Calibri" w:hAnsi="Calibri" w:cs="Times New Roman"/>
          <w:sz w:val="24"/>
          <w:szCs w:val="24"/>
        </w:rPr>
        <w:t xml:space="preserve"> Monitoring Report on implementation of the BEACON Action Plan that was approved by the BEACON Steering Group in December 2020.</w:t>
      </w:r>
      <w:r w:rsidR="00FA01B3">
        <w:rPr>
          <w:rFonts w:ascii="Calibri" w:eastAsia="Calibri" w:hAnsi="Calibri" w:cs="Times New Roman"/>
          <w:sz w:val="24"/>
          <w:szCs w:val="24"/>
        </w:rPr>
        <w:t xml:space="preserve"> The table below identifies </w:t>
      </w:r>
      <w:r w:rsidR="00E4231D">
        <w:rPr>
          <w:rFonts w:ascii="Calibri" w:eastAsia="Calibri" w:hAnsi="Calibri" w:cs="Times New Roman"/>
          <w:sz w:val="24"/>
          <w:szCs w:val="24"/>
        </w:rPr>
        <w:t xml:space="preserve">broad </w:t>
      </w:r>
      <w:r w:rsidR="00FA01B3">
        <w:rPr>
          <w:rFonts w:ascii="Calibri" w:eastAsia="Calibri" w:hAnsi="Calibri" w:cs="Times New Roman"/>
          <w:sz w:val="24"/>
          <w:szCs w:val="24"/>
        </w:rPr>
        <w:t>prog</w:t>
      </w:r>
      <w:r w:rsidR="006E616D">
        <w:rPr>
          <w:rFonts w:ascii="Calibri" w:eastAsia="Calibri" w:hAnsi="Calibri" w:cs="Times New Roman"/>
          <w:sz w:val="24"/>
          <w:szCs w:val="24"/>
        </w:rPr>
        <w:t>r</w:t>
      </w:r>
      <w:r w:rsidR="00FA01B3">
        <w:rPr>
          <w:rFonts w:ascii="Calibri" w:eastAsia="Calibri" w:hAnsi="Calibri" w:cs="Times New Roman"/>
          <w:sz w:val="24"/>
          <w:szCs w:val="24"/>
        </w:rPr>
        <w:t>e</w:t>
      </w:r>
      <w:r w:rsidR="006E616D">
        <w:rPr>
          <w:rFonts w:ascii="Calibri" w:eastAsia="Calibri" w:hAnsi="Calibri" w:cs="Times New Roman"/>
          <w:sz w:val="24"/>
          <w:szCs w:val="24"/>
        </w:rPr>
        <w:t>ss against the five Goals set in the Action Plan</w:t>
      </w:r>
      <w:r w:rsidR="00E4231D">
        <w:rPr>
          <w:rFonts w:ascii="Calibri" w:eastAsia="Calibri" w:hAnsi="Calibri" w:cs="Times New Roman"/>
          <w:sz w:val="24"/>
          <w:szCs w:val="24"/>
        </w:rPr>
        <w:t xml:space="preserve">, whilst pages 2 – 5 </w:t>
      </w:r>
      <w:r w:rsidR="00A45538">
        <w:rPr>
          <w:rFonts w:ascii="Calibri" w:eastAsia="Calibri" w:hAnsi="Calibri" w:cs="Times New Roman"/>
          <w:sz w:val="24"/>
          <w:szCs w:val="24"/>
        </w:rPr>
        <w:t>looks at progress on individual programmes and projects</w:t>
      </w:r>
      <w:r w:rsidR="00A76D5E">
        <w:rPr>
          <w:rFonts w:ascii="Calibri" w:eastAsia="Calibri" w:hAnsi="Calibri" w:cs="Times New Roman"/>
          <w:sz w:val="24"/>
          <w:szCs w:val="24"/>
        </w:rPr>
        <w:t>.</w:t>
      </w:r>
    </w:p>
    <w:tbl>
      <w:tblPr>
        <w:tblStyle w:val="TableGrid"/>
        <w:tblW w:w="0" w:type="auto"/>
        <w:tblLook w:val="04A0" w:firstRow="1" w:lastRow="0" w:firstColumn="1" w:lastColumn="0" w:noHBand="0" w:noVBand="1"/>
      </w:tblPr>
      <w:tblGrid>
        <w:gridCol w:w="6342"/>
        <w:gridCol w:w="8388"/>
      </w:tblGrid>
      <w:tr w:rsidR="008D28B8" w14:paraId="465BE50A" w14:textId="77777777" w:rsidTr="00351490">
        <w:tc>
          <w:tcPr>
            <w:tcW w:w="0" w:type="auto"/>
          </w:tcPr>
          <w:p w14:paraId="2CAF16EC" w14:textId="1EDD41B4" w:rsidR="00351490" w:rsidRDefault="00351490" w:rsidP="00351490">
            <w:pPr>
              <w:rPr>
                <w:b/>
                <w:sz w:val="24"/>
              </w:rPr>
            </w:pPr>
            <w:r w:rsidRPr="00C135C8">
              <w:rPr>
                <w:rFonts w:ascii="Calibri" w:eastAsia="Calibri" w:hAnsi="Calibri" w:cs="Times New Roman"/>
                <w:b/>
                <w:bCs/>
                <w:sz w:val="24"/>
                <w:szCs w:val="24"/>
              </w:rPr>
              <w:t>GOALS</w:t>
            </w:r>
          </w:p>
        </w:tc>
        <w:tc>
          <w:tcPr>
            <w:tcW w:w="0" w:type="auto"/>
          </w:tcPr>
          <w:p w14:paraId="540F29C5" w14:textId="440B6B18" w:rsidR="00351490" w:rsidRDefault="00351490" w:rsidP="00351490">
            <w:pPr>
              <w:rPr>
                <w:b/>
                <w:sz w:val="24"/>
              </w:rPr>
            </w:pPr>
            <w:r w:rsidRPr="00C135C8">
              <w:rPr>
                <w:rFonts w:ascii="Calibri" w:eastAsia="Calibri" w:hAnsi="Calibri" w:cs="Times New Roman"/>
                <w:b/>
                <w:bCs/>
                <w:sz w:val="24"/>
                <w:szCs w:val="24"/>
              </w:rPr>
              <w:t>PROGRESS</w:t>
            </w:r>
          </w:p>
        </w:tc>
      </w:tr>
      <w:tr w:rsidR="008D28B8" w14:paraId="1B41E4BC" w14:textId="77777777" w:rsidTr="00351490">
        <w:tc>
          <w:tcPr>
            <w:tcW w:w="0" w:type="auto"/>
          </w:tcPr>
          <w:p w14:paraId="4E6E806E" w14:textId="2F8AD7C4" w:rsidR="00351490" w:rsidRPr="00BF395F" w:rsidRDefault="00351490" w:rsidP="008D28B8">
            <w:pPr>
              <w:rPr>
                <w:rFonts w:ascii="Calibri" w:eastAsia="Calibri" w:hAnsi="Calibri" w:cs="Times New Roman"/>
                <w:b/>
                <w:bCs/>
                <w:sz w:val="24"/>
                <w:szCs w:val="24"/>
              </w:rPr>
            </w:pPr>
            <w:r w:rsidRPr="00C135C8">
              <w:rPr>
                <w:rFonts w:ascii="Calibri" w:eastAsia="Calibri" w:hAnsi="Calibri" w:cs="Times New Roman"/>
                <w:b/>
                <w:bCs/>
                <w:sz w:val="24"/>
                <w:szCs w:val="24"/>
              </w:rPr>
              <w:t xml:space="preserve">Water Quality </w:t>
            </w:r>
            <w:r w:rsidRPr="00C135C8">
              <w:rPr>
                <w:rFonts w:ascii="Calibri" w:eastAsia="Calibri" w:hAnsi="Calibri" w:cs="Times New Roman"/>
                <w:sz w:val="24"/>
                <w:szCs w:val="24"/>
              </w:rPr>
              <w:t xml:space="preserve">– </w:t>
            </w:r>
            <w:r w:rsidRPr="00C135C8">
              <w:rPr>
                <w:rFonts w:ascii="Calibri" w:eastAsia="Calibri" w:hAnsi="Calibri" w:cs="Times New Roman"/>
                <w:i/>
                <w:iCs/>
                <w:sz w:val="24"/>
                <w:szCs w:val="24"/>
              </w:rPr>
              <w:t>the r</w:t>
            </w:r>
            <w:r w:rsidRPr="00C135C8">
              <w:rPr>
                <w:rFonts w:ascii="Calibri" w:eastAsia="Calibri" w:hAnsi="Calibri" w:cs="Times New Roman"/>
                <w:sz w:val="24"/>
                <w:szCs w:val="24"/>
              </w:rPr>
              <w:t>i</w:t>
            </w:r>
            <w:r w:rsidRPr="00C135C8">
              <w:rPr>
                <w:rFonts w:ascii="Calibri" w:eastAsia="Calibri" w:hAnsi="Calibri" w:cs="Times New Roman"/>
                <w:bCs/>
                <w:i/>
                <w:iCs/>
                <w:sz w:val="24"/>
                <w:szCs w:val="24"/>
              </w:rPr>
              <w:t xml:space="preserve">vers, brooks and streams, and meres, lakes and ponds of the Bollin Catchment are clean and healthy enough to support populations of a diverse and iconic wildlife </w:t>
            </w:r>
          </w:p>
        </w:tc>
        <w:tc>
          <w:tcPr>
            <w:tcW w:w="0" w:type="auto"/>
          </w:tcPr>
          <w:p w14:paraId="0041E6F6" w14:textId="2D8D968F" w:rsidR="00351490" w:rsidRDefault="00351490" w:rsidP="00AA563B">
            <w:pPr>
              <w:rPr>
                <w:b/>
                <w:sz w:val="24"/>
              </w:rPr>
            </w:pPr>
            <w:r>
              <w:rPr>
                <w:rFonts w:ascii="Calibri" w:eastAsia="Calibri" w:hAnsi="Calibri" w:cs="Times New Roman"/>
                <w:sz w:val="24"/>
                <w:szCs w:val="24"/>
              </w:rPr>
              <w:t xml:space="preserve">United Utilities is at an early stage in its </w:t>
            </w:r>
            <w:r w:rsidR="007F1C4C">
              <w:rPr>
                <w:rFonts w:ascii="Calibri" w:eastAsia="Calibri" w:hAnsi="Calibri" w:cs="Times New Roman"/>
                <w:sz w:val="24"/>
                <w:szCs w:val="24"/>
              </w:rPr>
              <w:t>programme</w:t>
            </w:r>
            <w:r>
              <w:rPr>
                <w:rFonts w:ascii="Calibri" w:eastAsia="Calibri" w:hAnsi="Calibri" w:cs="Times New Roman"/>
                <w:sz w:val="24"/>
                <w:szCs w:val="24"/>
              </w:rPr>
              <w:t xml:space="preserve"> of wastewater </w:t>
            </w:r>
            <w:r w:rsidR="009005D5">
              <w:rPr>
                <w:rFonts w:ascii="Calibri" w:eastAsia="Calibri" w:hAnsi="Calibri" w:cs="Times New Roman"/>
                <w:sz w:val="24"/>
                <w:szCs w:val="24"/>
              </w:rPr>
              <w:t>treatment improvements</w:t>
            </w:r>
            <w:r w:rsidR="00D13FD1">
              <w:rPr>
                <w:rFonts w:ascii="Calibri" w:eastAsia="Calibri" w:hAnsi="Calibri" w:cs="Times New Roman"/>
                <w:sz w:val="24"/>
                <w:szCs w:val="24"/>
              </w:rPr>
              <w:t xml:space="preserve"> under AMP7 (2020-25).</w:t>
            </w:r>
            <w:r w:rsidR="00DF7911">
              <w:rPr>
                <w:rFonts w:ascii="Calibri" w:eastAsia="Calibri" w:hAnsi="Calibri" w:cs="Times New Roman"/>
                <w:sz w:val="24"/>
                <w:szCs w:val="24"/>
              </w:rPr>
              <w:t xml:space="preserve"> </w:t>
            </w:r>
            <w:r w:rsidR="00AA563B">
              <w:rPr>
                <w:rFonts w:ascii="Calibri" w:eastAsia="Calibri" w:hAnsi="Calibri" w:cs="Times New Roman"/>
                <w:sz w:val="24"/>
                <w:szCs w:val="24"/>
              </w:rPr>
              <w:t xml:space="preserve">There has been work on specific brook catchments to deliver farm advice and capital works, but this needs further exploration and expansion.  Project proposals for Harrop Brook look to improve water quality.  </w:t>
            </w:r>
          </w:p>
        </w:tc>
      </w:tr>
      <w:tr w:rsidR="008D28B8" w14:paraId="25B2E24E" w14:textId="77777777" w:rsidTr="00351490">
        <w:tc>
          <w:tcPr>
            <w:tcW w:w="0" w:type="auto"/>
          </w:tcPr>
          <w:p w14:paraId="1C041B1D" w14:textId="20844471" w:rsidR="00351490" w:rsidRPr="003E01BA" w:rsidRDefault="008D28B8" w:rsidP="003E01BA">
            <w:pPr>
              <w:ind w:left="-3"/>
              <w:rPr>
                <w:rFonts w:ascii="Calibri" w:eastAsia="Calibri" w:hAnsi="Calibri" w:cs="Times New Roman"/>
              </w:rPr>
            </w:pPr>
            <w:r w:rsidRPr="00C135C8">
              <w:rPr>
                <w:rFonts w:ascii="Calibri" w:eastAsia="Calibri" w:hAnsi="Calibri" w:cs="Times New Roman"/>
                <w:b/>
                <w:sz w:val="24"/>
                <w:szCs w:val="24"/>
              </w:rPr>
              <w:t xml:space="preserve">Flood Risk </w:t>
            </w:r>
            <w:r w:rsidRPr="00C135C8">
              <w:rPr>
                <w:rFonts w:ascii="Calibri" w:eastAsia="Calibri" w:hAnsi="Calibri" w:cs="Times New Roman"/>
                <w:bCs/>
                <w:sz w:val="24"/>
                <w:szCs w:val="24"/>
              </w:rPr>
              <w:t xml:space="preserve">– </w:t>
            </w:r>
            <w:r w:rsidRPr="00C135C8">
              <w:rPr>
                <w:rFonts w:ascii="Calibri" w:eastAsia="Calibri" w:hAnsi="Calibri" w:cs="Times New Roman"/>
                <w:bCs/>
                <w:i/>
                <w:iCs/>
                <w:sz w:val="24"/>
                <w:szCs w:val="24"/>
              </w:rPr>
              <w:t>high flows in the catchment are managed primarily using natural processes to create more resilient rivers and landscape</w:t>
            </w:r>
          </w:p>
        </w:tc>
        <w:tc>
          <w:tcPr>
            <w:tcW w:w="0" w:type="auto"/>
          </w:tcPr>
          <w:p w14:paraId="6490E520" w14:textId="1B655C27" w:rsidR="00351490" w:rsidRPr="003E01BA" w:rsidRDefault="003E01BA" w:rsidP="00351490">
            <w:pPr>
              <w:rPr>
                <w:bCs/>
                <w:sz w:val="24"/>
              </w:rPr>
            </w:pPr>
            <w:r w:rsidRPr="003E01BA">
              <w:rPr>
                <w:bCs/>
                <w:sz w:val="24"/>
              </w:rPr>
              <w:t>Two natur</w:t>
            </w:r>
            <w:r>
              <w:rPr>
                <w:bCs/>
                <w:sz w:val="24"/>
              </w:rPr>
              <w:t>a</w:t>
            </w:r>
            <w:r w:rsidRPr="003E01BA">
              <w:rPr>
                <w:bCs/>
                <w:sz w:val="24"/>
              </w:rPr>
              <w:t>l flood man</w:t>
            </w:r>
            <w:r>
              <w:rPr>
                <w:bCs/>
                <w:sz w:val="24"/>
              </w:rPr>
              <w:t>ag</w:t>
            </w:r>
            <w:r w:rsidRPr="003E01BA">
              <w:rPr>
                <w:bCs/>
                <w:sz w:val="24"/>
              </w:rPr>
              <w:t>ement</w:t>
            </w:r>
            <w:r>
              <w:rPr>
                <w:bCs/>
                <w:sz w:val="24"/>
              </w:rPr>
              <w:t xml:space="preserve"> (NFM)</w:t>
            </w:r>
            <w:r w:rsidRPr="003E01BA">
              <w:rPr>
                <w:bCs/>
                <w:sz w:val="24"/>
              </w:rPr>
              <w:t xml:space="preserve"> schemes</w:t>
            </w:r>
            <w:r>
              <w:rPr>
                <w:bCs/>
                <w:sz w:val="24"/>
              </w:rPr>
              <w:t xml:space="preserve"> have been delivered</w:t>
            </w:r>
            <w:r w:rsidR="00AA563B">
              <w:rPr>
                <w:bCs/>
                <w:sz w:val="24"/>
              </w:rPr>
              <w:t>, and maintenance done this winter</w:t>
            </w:r>
            <w:r w:rsidR="00E92A6B">
              <w:rPr>
                <w:bCs/>
                <w:sz w:val="24"/>
              </w:rPr>
              <w:t xml:space="preserve">. Mapping indicates that </w:t>
            </w:r>
            <w:r w:rsidR="00B64963">
              <w:rPr>
                <w:bCs/>
                <w:sz w:val="24"/>
              </w:rPr>
              <w:t>there are still many opportunities that can be explored.</w:t>
            </w:r>
          </w:p>
        </w:tc>
      </w:tr>
      <w:tr w:rsidR="008D28B8" w14:paraId="2B66E3F7" w14:textId="77777777" w:rsidTr="00351490">
        <w:tc>
          <w:tcPr>
            <w:tcW w:w="0" w:type="auto"/>
          </w:tcPr>
          <w:p w14:paraId="5AA09078" w14:textId="188648FC" w:rsidR="00351490" w:rsidRPr="00B64963" w:rsidRDefault="00B64963" w:rsidP="00B64963">
            <w:pPr>
              <w:ind w:left="-3"/>
              <w:rPr>
                <w:rFonts w:ascii="Calibri" w:eastAsia="Calibri" w:hAnsi="Calibri" w:cs="Times New Roman"/>
                <w:sz w:val="24"/>
                <w:szCs w:val="24"/>
              </w:rPr>
            </w:pPr>
            <w:r w:rsidRPr="00C135C8">
              <w:rPr>
                <w:rFonts w:ascii="Calibri" w:eastAsia="Calibri" w:hAnsi="Calibri" w:cs="Times New Roman"/>
                <w:b/>
                <w:sz w:val="24"/>
                <w:szCs w:val="24"/>
              </w:rPr>
              <w:t xml:space="preserve">Biodiversity and Ecology </w:t>
            </w:r>
            <w:r w:rsidRPr="00C135C8">
              <w:rPr>
                <w:rFonts w:ascii="Calibri" w:eastAsia="Calibri" w:hAnsi="Calibri" w:cs="Times New Roman"/>
                <w:bCs/>
                <w:sz w:val="24"/>
                <w:szCs w:val="24"/>
              </w:rPr>
              <w:t xml:space="preserve">– </w:t>
            </w:r>
            <w:r w:rsidRPr="00C135C8">
              <w:rPr>
                <w:rFonts w:ascii="Calibri" w:eastAsia="Calibri" w:hAnsi="Calibri" w:cs="Times New Roman"/>
                <w:bCs/>
                <w:i/>
                <w:iCs/>
                <w:sz w:val="24"/>
                <w:szCs w:val="24"/>
              </w:rPr>
              <w:t>the</w:t>
            </w:r>
            <w:r w:rsidRPr="00C135C8">
              <w:rPr>
                <w:rFonts w:ascii="Calibri" w:eastAsia="Calibri" w:hAnsi="Calibri" w:cs="Times New Roman"/>
                <w:bCs/>
                <w:sz w:val="24"/>
                <w:szCs w:val="24"/>
              </w:rPr>
              <w:t xml:space="preserve"> </w:t>
            </w:r>
            <w:r w:rsidRPr="00C135C8">
              <w:rPr>
                <w:rFonts w:ascii="Calibri" w:eastAsia="Calibri" w:hAnsi="Calibri" w:cs="Times New Roman"/>
                <w:bCs/>
                <w:i/>
                <w:iCs/>
                <w:sz w:val="24"/>
                <w:szCs w:val="24"/>
              </w:rPr>
              <w:t>Bollin Catchment is rich in wildlife, with high quality natural habitats including healthy rivers and lakes, ponds and streams, wetlands and riparian habitats (such as meadows, woodlands) supporting a wide range of species.</w:t>
            </w:r>
          </w:p>
        </w:tc>
        <w:tc>
          <w:tcPr>
            <w:tcW w:w="0" w:type="auto"/>
          </w:tcPr>
          <w:p w14:paraId="5CD32608" w14:textId="042E2D57" w:rsidR="00351490" w:rsidRPr="003E01BA" w:rsidRDefault="001B1361" w:rsidP="00AA563B">
            <w:pPr>
              <w:rPr>
                <w:bCs/>
                <w:sz w:val="24"/>
              </w:rPr>
            </w:pPr>
            <w:r>
              <w:rPr>
                <w:bCs/>
                <w:sz w:val="24"/>
              </w:rPr>
              <w:t>The INNS programme focussing on Hi</w:t>
            </w:r>
            <w:r w:rsidR="006F432B">
              <w:rPr>
                <w:bCs/>
                <w:sz w:val="24"/>
              </w:rPr>
              <w:t>ma</w:t>
            </w:r>
            <w:r>
              <w:rPr>
                <w:bCs/>
                <w:sz w:val="24"/>
              </w:rPr>
              <w:t xml:space="preserve">layan Balsam, Giant Hogweed and </w:t>
            </w:r>
            <w:r w:rsidR="006F432B">
              <w:rPr>
                <w:bCs/>
                <w:sz w:val="24"/>
              </w:rPr>
              <w:t xml:space="preserve">Japanese Knotweed </w:t>
            </w:r>
            <w:r w:rsidR="00AA563B">
              <w:rPr>
                <w:bCs/>
                <w:sz w:val="24"/>
              </w:rPr>
              <w:t>has gone well,</w:t>
            </w:r>
            <w:r w:rsidR="006F432B">
              <w:rPr>
                <w:bCs/>
                <w:sz w:val="24"/>
              </w:rPr>
              <w:t xml:space="preserve"> </w:t>
            </w:r>
            <w:r w:rsidR="0042666E">
              <w:rPr>
                <w:bCs/>
                <w:sz w:val="24"/>
              </w:rPr>
              <w:t>with wide range of partners involved</w:t>
            </w:r>
            <w:r w:rsidR="00AA563B">
              <w:rPr>
                <w:bCs/>
                <w:sz w:val="24"/>
              </w:rPr>
              <w:t xml:space="preserve">, and supported through </w:t>
            </w:r>
            <w:r w:rsidR="00372796">
              <w:rPr>
                <w:bCs/>
                <w:sz w:val="24"/>
              </w:rPr>
              <w:t>UU CaST + HLF GRCF</w:t>
            </w:r>
            <w:r w:rsidR="00AA563B">
              <w:rPr>
                <w:bCs/>
                <w:sz w:val="24"/>
              </w:rPr>
              <w:t xml:space="preserve"> funding</w:t>
            </w:r>
            <w:r w:rsidR="00372796">
              <w:rPr>
                <w:bCs/>
                <w:sz w:val="24"/>
              </w:rPr>
              <w:t xml:space="preserve">. Other projects </w:t>
            </w:r>
            <w:r w:rsidR="00702B08">
              <w:rPr>
                <w:bCs/>
                <w:sz w:val="24"/>
              </w:rPr>
              <w:t xml:space="preserve">relating to riparian land management </w:t>
            </w:r>
            <w:r w:rsidR="00274245">
              <w:rPr>
                <w:bCs/>
                <w:sz w:val="24"/>
              </w:rPr>
              <w:t>a</w:t>
            </w:r>
            <w:r w:rsidR="00354642">
              <w:rPr>
                <w:bCs/>
                <w:sz w:val="24"/>
              </w:rPr>
              <w:t xml:space="preserve">nd wetland creation are in </w:t>
            </w:r>
            <w:r w:rsidR="00AA563B">
              <w:rPr>
                <w:bCs/>
                <w:sz w:val="24"/>
              </w:rPr>
              <w:t>due to be delivered in spring 2022</w:t>
            </w:r>
            <w:r w:rsidR="00354642">
              <w:rPr>
                <w:bCs/>
                <w:sz w:val="24"/>
              </w:rPr>
              <w:t>.</w:t>
            </w:r>
            <w:r w:rsidR="00AA563B">
              <w:rPr>
                <w:bCs/>
                <w:sz w:val="24"/>
              </w:rPr>
              <w:t xml:space="preserve"> Work on protected sites, ex-farmland and nature reserves to restore habitats has been ongoing. </w:t>
            </w:r>
          </w:p>
        </w:tc>
      </w:tr>
      <w:tr w:rsidR="008D28B8" w14:paraId="1E6255CA" w14:textId="77777777" w:rsidTr="00351490">
        <w:tc>
          <w:tcPr>
            <w:tcW w:w="0" w:type="auto"/>
          </w:tcPr>
          <w:p w14:paraId="1B8E88B0" w14:textId="4D2DC4AB" w:rsidR="00351490" w:rsidRPr="001916D1" w:rsidRDefault="00B64963" w:rsidP="001916D1">
            <w:pPr>
              <w:ind w:left="-3"/>
              <w:rPr>
                <w:rFonts w:ascii="Calibri" w:eastAsia="Calibri" w:hAnsi="Calibri" w:cs="Times New Roman"/>
                <w:sz w:val="24"/>
                <w:szCs w:val="24"/>
              </w:rPr>
            </w:pPr>
            <w:r w:rsidRPr="00C135C8">
              <w:rPr>
                <w:rFonts w:ascii="Calibri" w:eastAsia="Calibri" w:hAnsi="Calibri" w:cs="Times New Roman"/>
                <w:b/>
                <w:bCs/>
                <w:sz w:val="24"/>
                <w:szCs w:val="24"/>
              </w:rPr>
              <w:t xml:space="preserve">Recreation, Leisure and Landscape </w:t>
            </w:r>
            <w:r w:rsidRPr="00C135C8">
              <w:rPr>
                <w:rFonts w:ascii="Calibri" w:eastAsia="Calibri" w:hAnsi="Calibri" w:cs="Times New Roman"/>
                <w:sz w:val="24"/>
                <w:szCs w:val="24"/>
              </w:rPr>
              <w:t xml:space="preserve">– </w:t>
            </w:r>
            <w:r w:rsidRPr="00C135C8">
              <w:rPr>
                <w:rFonts w:ascii="Calibri" w:eastAsia="Calibri" w:hAnsi="Calibri" w:cs="Times New Roman"/>
                <w:i/>
                <w:iCs/>
                <w:sz w:val="24"/>
                <w:szCs w:val="24"/>
              </w:rPr>
              <w:t xml:space="preserve">local </w:t>
            </w:r>
            <w:r w:rsidRPr="00C135C8">
              <w:rPr>
                <w:rFonts w:ascii="Calibri" w:eastAsia="Calibri" w:hAnsi="Calibri" w:cs="Times New Roman"/>
                <w:bCs/>
                <w:i/>
                <w:iCs/>
                <w:sz w:val="24"/>
                <w:szCs w:val="24"/>
              </w:rPr>
              <w:t>residents and visitors can access and enjoy river and lakeside environments and their benefits without harming the environment.</w:t>
            </w:r>
          </w:p>
        </w:tc>
        <w:tc>
          <w:tcPr>
            <w:tcW w:w="0" w:type="auto"/>
          </w:tcPr>
          <w:p w14:paraId="4947A23E" w14:textId="39BEFCF6" w:rsidR="00AA563B" w:rsidRPr="00AA563B" w:rsidRDefault="00AA563B" w:rsidP="00AA563B">
            <w:pPr>
              <w:pStyle w:val="CommentText"/>
              <w:rPr>
                <w:sz w:val="24"/>
                <w:szCs w:val="24"/>
              </w:rPr>
            </w:pPr>
            <w:r w:rsidRPr="00AA563B">
              <w:rPr>
                <w:sz w:val="24"/>
                <w:szCs w:val="24"/>
              </w:rPr>
              <w:t xml:space="preserve">Work planned with BFFA to carry out riparian work that enables them to access the river for recreation.  </w:t>
            </w:r>
          </w:p>
          <w:p w14:paraId="461E95B7" w14:textId="695027D7" w:rsidR="00351490" w:rsidRPr="003E01BA" w:rsidRDefault="00AA563B" w:rsidP="00AA563B">
            <w:pPr>
              <w:rPr>
                <w:bCs/>
                <w:sz w:val="24"/>
              </w:rPr>
            </w:pPr>
            <w:r w:rsidRPr="00AA563B">
              <w:rPr>
                <w:sz w:val="24"/>
                <w:szCs w:val="24"/>
              </w:rPr>
              <w:t>Bollin Valley Group has funding to create a prospectus of projects that are investable and includes footpath/cycle/access improvement networks</w:t>
            </w:r>
            <w:r>
              <w:rPr>
                <w:sz w:val="24"/>
                <w:szCs w:val="24"/>
              </w:rPr>
              <w:t>.</w:t>
            </w:r>
          </w:p>
        </w:tc>
      </w:tr>
      <w:tr w:rsidR="008D28B8" w14:paraId="4BA600C1" w14:textId="77777777" w:rsidTr="00351490">
        <w:tc>
          <w:tcPr>
            <w:tcW w:w="0" w:type="auto"/>
          </w:tcPr>
          <w:p w14:paraId="3D81E4B9" w14:textId="63DC85C4" w:rsidR="00351490" w:rsidRPr="001916D1" w:rsidRDefault="00B64963" w:rsidP="001916D1">
            <w:pPr>
              <w:ind w:left="-3"/>
              <w:rPr>
                <w:rFonts w:ascii="Calibri" w:eastAsia="Calibri" w:hAnsi="Calibri" w:cs="Times New Roman"/>
                <w:sz w:val="24"/>
                <w:szCs w:val="24"/>
              </w:rPr>
            </w:pPr>
            <w:r w:rsidRPr="00C135C8">
              <w:rPr>
                <w:rFonts w:ascii="Calibri" w:eastAsia="Calibri" w:hAnsi="Calibri" w:cs="Times New Roman"/>
                <w:b/>
                <w:sz w:val="24"/>
                <w:szCs w:val="24"/>
              </w:rPr>
              <w:t xml:space="preserve">Community Engagement </w:t>
            </w:r>
            <w:r w:rsidRPr="00C135C8">
              <w:rPr>
                <w:rFonts w:ascii="Calibri" w:eastAsia="Calibri" w:hAnsi="Calibri" w:cs="Times New Roman"/>
                <w:sz w:val="24"/>
                <w:szCs w:val="24"/>
              </w:rPr>
              <w:t xml:space="preserve">– </w:t>
            </w:r>
            <w:r w:rsidRPr="00C135C8">
              <w:rPr>
                <w:rFonts w:ascii="Calibri" w:eastAsia="Calibri" w:hAnsi="Calibri" w:cs="Times New Roman"/>
                <w:i/>
                <w:iCs/>
                <w:sz w:val="24"/>
                <w:szCs w:val="24"/>
              </w:rPr>
              <w:t xml:space="preserve">local </w:t>
            </w:r>
            <w:r w:rsidRPr="00C135C8">
              <w:rPr>
                <w:rFonts w:ascii="Calibri" w:eastAsia="Calibri" w:hAnsi="Calibri" w:cs="Times New Roman"/>
                <w:bCs/>
                <w:i/>
                <w:iCs/>
                <w:sz w:val="24"/>
                <w:szCs w:val="24"/>
              </w:rPr>
              <w:t xml:space="preserve">residents and communities are involved with a wide range of activities that benefit their local water environment and landscape. </w:t>
            </w:r>
          </w:p>
        </w:tc>
        <w:tc>
          <w:tcPr>
            <w:tcW w:w="0" w:type="auto"/>
          </w:tcPr>
          <w:p w14:paraId="3B306BD8" w14:textId="01253ACF" w:rsidR="00351490" w:rsidRPr="003E01BA" w:rsidRDefault="00AA563B" w:rsidP="00557A0E">
            <w:pPr>
              <w:rPr>
                <w:bCs/>
                <w:sz w:val="24"/>
              </w:rPr>
            </w:pPr>
            <w:r>
              <w:rPr>
                <w:bCs/>
                <w:sz w:val="24"/>
              </w:rPr>
              <w:t xml:space="preserve">Community engagement has re-started again and a full schedule of training, workshops, working parties and events planned for 2022.  Mersey Rivers Trust will </w:t>
            </w:r>
            <w:r w:rsidR="00557A0E">
              <w:rPr>
                <w:bCs/>
                <w:sz w:val="24"/>
              </w:rPr>
              <w:t xml:space="preserve">be developing its </w:t>
            </w:r>
            <w:r w:rsidR="007D49D8">
              <w:rPr>
                <w:bCs/>
                <w:sz w:val="24"/>
              </w:rPr>
              <w:t>Ci</w:t>
            </w:r>
            <w:r w:rsidR="0082312A">
              <w:rPr>
                <w:bCs/>
                <w:sz w:val="24"/>
              </w:rPr>
              <w:t xml:space="preserve">tizen Science </w:t>
            </w:r>
            <w:r w:rsidR="00557A0E">
              <w:rPr>
                <w:bCs/>
                <w:sz w:val="24"/>
              </w:rPr>
              <w:t xml:space="preserve">and results data analysis </w:t>
            </w:r>
            <w:r w:rsidR="0082312A">
              <w:rPr>
                <w:bCs/>
                <w:sz w:val="24"/>
              </w:rPr>
              <w:t xml:space="preserve">activity </w:t>
            </w:r>
            <w:r w:rsidR="00557A0E">
              <w:rPr>
                <w:bCs/>
                <w:sz w:val="24"/>
              </w:rPr>
              <w:t>through funding from Ofwat and Natural Course</w:t>
            </w:r>
            <w:r w:rsidR="0082312A">
              <w:rPr>
                <w:bCs/>
                <w:sz w:val="24"/>
              </w:rPr>
              <w:t>.</w:t>
            </w:r>
            <w:r w:rsidR="004814AC">
              <w:rPr>
                <w:bCs/>
                <w:sz w:val="24"/>
              </w:rPr>
              <w:t xml:space="preserve"> The</w:t>
            </w:r>
            <w:r w:rsidR="00982A0B">
              <w:rPr>
                <w:bCs/>
                <w:sz w:val="24"/>
              </w:rPr>
              <w:t xml:space="preserve"> UU CaST </w:t>
            </w:r>
            <w:r w:rsidR="00557A0E">
              <w:rPr>
                <w:bCs/>
                <w:sz w:val="24"/>
              </w:rPr>
              <w:t xml:space="preserve">funded project </w:t>
            </w:r>
            <w:r w:rsidR="00982A0B">
              <w:rPr>
                <w:bCs/>
                <w:sz w:val="24"/>
              </w:rPr>
              <w:t>ha</w:t>
            </w:r>
            <w:r w:rsidR="00557A0E">
              <w:rPr>
                <w:bCs/>
                <w:sz w:val="24"/>
              </w:rPr>
              <w:t>s</w:t>
            </w:r>
            <w:r w:rsidR="00982A0B">
              <w:rPr>
                <w:bCs/>
                <w:sz w:val="24"/>
              </w:rPr>
              <w:t xml:space="preserve"> significant community engagement element</w:t>
            </w:r>
            <w:r w:rsidR="00557A0E">
              <w:rPr>
                <w:bCs/>
                <w:sz w:val="24"/>
              </w:rPr>
              <w:t>s</w:t>
            </w:r>
            <w:r w:rsidR="00982A0B">
              <w:rPr>
                <w:bCs/>
                <w:sz w:val="24"/>
              </w:rPr>
              <w:t>.</w:t>
            </w:r>
          </w:p>
        </w:tc>
      </w:tr>
    </w:tbl>
    <w:p w14:paraId="0E465336" w14:textId="3BE62714" w:rsidR="001A74F7" w:rsidRDefault="001A74F7" w:rsidP="005A7F07">
      <w:pPr>
        <w:jc w:val="center"/>
        <w:rPr>
          <w:b/>
          <w:sz w:val="24"/>
        </w:rPr>
      </w:pPr>
    </w:p>
    <w:p w14:paraId="07760D07" w14:textId="77777777" w:rsidR="004E029C" w:rsidRDefault="004E029C" w:rsidP="005A7F07">
      <w:pPr>
        <w:jc w:val="center"/>
        <w:rPr>
          <w:b/>
          <w:sz w:val="24"/>
        </w:rPr>
      </w:pPr>
    </w:p>
    <w:p w14:paraId="146F5DB4" w14:textId="2475D785" w:rsidR="001A74F7" w:rsidRDefault="001A74F7" w:rsidP="005A7F07">
      <w:pPr>
        <w:jc w:val="center"/>
        <w:rPr>
          <w:b/>
          <w:sz w:val="24"/>
        </w:rPr>
      </w:pPr>
    </w:p>
    <w:tbl>
      <w:tblPr>
        <w:tblStyle w:val="TableGrid"/>
        <w:tblW w:w="14890" w:type="dxa"/>
        <w:tblLayout w:type="fixed"/>
        <w:tblLook w:val="04A0" w:firstRow="1" w:lastRow="0" w:firstColumn="1" w:lastColumn="0" w:noHBand="0" w:noVBand="1"/>
      </w:tblPr>
      <w:tblGrid>
        <w:gridCol w:w="2241"/>
        <w:gridCol w:w="1560"/>
        <w:gridCol w:w="1984"/>
        <w:gridCol w:w="1508"/>
        <w:gridCol w:w="2041"/>
        <w:gridCol w:w="1077"/>
        <w:gridCol w:w="1077"/>
        <w:gridCol w:w="1077"/>
        <w:gridCol w:w="1134"/>
        <w:gridCol w:w="1191"/>
      </w:tblGrid>
      <w:tr w:rsidR="00127DF9" w:rsidRPr="005A7F07" w14:paraId="76A35223" w14:textId="77777777" w:rsidTr="00E92E9D">
        <w:tc>
          <w:tcPr>
            <w:tcW w:w="2241" w:type="dxa"/>
            <w:tcBorders>
              <w:bottom w:val="nil"/>
            </w:tcBorders>
          </w:tcPr>
          <w:p w14:paraId="68929972" w14:textId="77777777" w:rsidR="00127DF9" w:rsidRPr="005A7F07" w:rsidRDefault="00127DF9">
            <w:pPr>
              <w:rPr>
                <w:b/>
              </w:rPr>
            </w:pPr>
            <w:bookmarkStart w:id="0" w:name="_Hlk77242245"/>
          </w:p>
        </w:tc>
        <w:tc>
          <w:tcPr>
            <w:tcW w:w="1560" w:type="dxa"/>
            <w:tcBorders>
              <w:bottom w:val="nil"/>
            </w:tcBorders>
          </w:tcPr>
          <w:p w14:paraId="5B1589F2" w14:textId="77777777" w:rsidR="00127DF9" w:rsidRPr="005A7F07" w:rsidRDefault="00127DF9">
            <w:pPr>
              <w:rPr>
                <w:b/>
              </w:rPr>
            </w:pPr>
          </w:p>
        </w:tc>
        <w:tc>
          <w:tcPr>
            <w:tcW w:w="1984" w:type="dxa"/>
            <w:tcBorders>
              <w:bottom w:val="nil"/>
            </w:tcBorders>
          </w:tcPr>
          <w:p w14:paraId="6459F974" w14:textId="77777777" w:rsidR="00127DF9" w:rsidRPr="005A7F07" w:rsidRDefault="00127DF9">
            <w:pPr>
              <w:rPr>
                <w:b/>
              </w:rPr>
            </w:pPr>
          </w:p>
        </w:tc>
        <w:tc>
          <w:tcPr>
            <w:tcW w:w="1508" w:type="dxa"/>
            <w:tcBorders>
              <w:bottom w:val="nil"/>
            </w:tcBorders>
          </w:tcPr>
          <w:p w14:paraId="6AC3D099" w14:textId="77777777" w:rsidR="00127DF9" w:rsidRPr="005A7F07" w:rsidRDefault="00127DF9">
            <w:pPr>
              <w:rPr>
                <w:b/>
              </w:rPr>
            </w:pPr>
          </w:p>
        </w:tc>
        <w:tc>
          <w:tcPr>
            <w:tcW w:w="2041" w:type="dxa"/>
            <w:tcBorders>
              <w:bottom w:val="nil"/>
            </w:tcBorders>
          </w:tcPr>
          <w:p w14:paraId="20B7DAD0" w14:textId="77777777" w:rsidR="00127DF9" w:rsidRDefault="00127DF9" w:rsidP="00150FEB">
            <w:pPr>
              <w:rPr>
                <w:b/>
              </w:rPr>
            </w:pPr>
          </w:p>
        </w:tc>
        <w:tc>
          <w:tcPr>
            <w:tcW w:w="5556" w:type="dxa"/>
            <w:gridSpan w:val="5"/>
            <w:vAlign w:val="center"/>
          </w:tcPr>
          <w:p w14:paraId="36F1D5C9" w14:textId="1B798A35" w:rsidR="00127DF9" w:rsidRDefault="00127DF9" w:rsidP="00E06291">
            <w:pPr>
              <w:jc w:val="center"/>
              <w:rPr>
                <w:b/>
              </w:rPr>
            </w:pPr>
            <w:r>
              <w:rPr>
                <w:b/>
              </w:rPr>
              <w:t>Action Plan Goal</w:t>
            </w:r>
          </w:p>
        </w:tc>
      </w:tr>
      <w:tr w:rsidR="00127DF9" w:rsidRPr="005A7F07" w14:paraId="542D5401" w14:textId="23A20114" w:rsidTr="00E92E9D">
        <w:tc>
          <w:tcPr>
            <w:tcW w:w="2241" w:type="dxa"/>
            <w:tcBorders>
              <w:top w:val="nil"/>
            </w:tcBorders>
          </w:tcPr>
          <w:p w14:paraId="695F1046" w14:textId="77777777" w:rsidR="00127DF9" w:rsidRPr="005A7F07" w:rsidRDefault="00127DF9">
            <w:pPr>
              <w:rPr>
                <w:b/>
              </w:rPr>
            </w:pPr>
            <w:r w:rsidRPr="005A7F07">
              <w:rPr>
                <w:b/>
              </w:rPr>
              <w:t>Project Details</w:t>
            </w:r>
          </w:p>
        </w:tc>
        <w:tc>
          <w:tcPr>
            <w:tcW w:w="1560" w:type="dxa"/>
            <w:tcBorders>
              <w:top w:val="nil"/>
            </w:tcBorders>
          </w:tcPr>
          <w:p w14:paraId="7F0031AE" w14:textId="6AA50683" w:rsidR="00127DF9" w:rsidRPr="005A7F07" w:rsidRDefault="00127DF9">
            <w:pPr>
              <w:rPr>
                <w:b/>
              </w:rPr>
            </w:pPr>
            <w:r w:rsidRPr="005A7F07">
              <w:rPr>
                <w:b/>
              </w:rPr>
              <w:t>Waterbod</w:t>
            </w:r>
            <w:r w:rsidR="00C7644D">
              <w:rPr>
                <w:b/>
              </w:rPr>
              <w:t>ies</w:t>
            </w:r>
          </w:p>
        </w:tc>
        <w:tc>
          <w:tcPr>
            <w:tcW w:w="1984" w:type="dxa"/>
            <w:tcBorders>
              <w:top w:val="nil"/>
            </w:tcBorders>
          </w:tcPr>
          <w:p w14:paraId="457EE1C3" w14:textId="77777777" w:rsidR="00127DF9" w:rsidRPr="005A7F07" w:rsidRDefault="00127DF9">
            <w:pPr>
              <w:rPr>
                <w:b/>
              </w:rPr>
            </w:pPr>
            <w:r w:rsidRPr="005A7F07">
              <w:rPr>
                <w:b/>
              </w:rPr>
              <w:t>Funded?</w:t>
            </w:r>
          </w:p>
        </w:tc>
        <w:tc>
          <w:tcPr>
            <w:tcW w:w="1508" w:type="dxa"/>
            <w:tcBorders>
              <w:top w:val="nil"/>
            </w:tcBorders>
          </w:tcPr>
          <w:p w14:paraId="2FA7D1EE" w14:textId="656D0B35" w:rsidR="00127DF9" w:rsidRPr="005A7F07" w:rsidRDefault="00127DF9">
            <w:pPr>
              <w:rPr>
                <w:b/>
              </w:rPr>
            </w:pPr>
            <w:r>
              <w:rPr>
                <w:b/>
              </w:rPr>
              <w:t>Organisation</w:t>
            </w:r>
          </w:p>
        </w:tc>
        <w:tc>
          <w:tcPr>
            <w:tcW w:w="2041" w:type="dxa"/>
            <w:tcBorders>
              <w:top w:val="nil"/>
            </w:tcBorders>
          </w:tcPr>
          <w:p w14:paraId="74944141" w14:textId="2DB5FE4C" w:rsidR="00127DF9" w:rsidRPr="00315244" w:rsidRDefault="00127DF9" w:rsidP="00150FEB">
            <w:pPr>
              <w:rPr>
                <w:b/>
                <w:sz w:val="20"/>
                <w:szCs w:val="20"/>
              </w:rPr>
            </w:pPr>
            <w:r>
              <w:rPr>
                <w:b/>
                <w:sz w:val="20"/>
                <w:szCs w:val="20"/>
              </w:rPr>
              <w:t>Status</w:t>
            </w:r>
            <w:r w:rsidR="00150FEB">
              <w:rPr>
                <w:b/>
                <w:sz w:val="20"/>
                <w:szCs w:val="20"/>
              </w:rPr>
              <w:t>/Comment</w:t>
            </w:r>
          </w:p>
        </w:tc>
        <w:tc>
          <w:tcPr>
            <w:tcW w:w="1077" w:type="dxa"/>
          </w:tcPr>
          <w:p w14:paraId="00DFEA66" w14:textId="110B2B99" w:rsidR="00127DF9" w:rsidRPr="00315244" w:rsidRDefault="00127DF9">
            <w:pPr>
              <w:rPr>
                <w:b/>
                <w:sz w:val="20"/>
                <w:szCs w:val="20"/>
              </w:rPr>
            </w:pPr>
            <w:r w:rsidRPr="00315244">
              <w:rPr>
                <w:b/>
                <w:sz w:val="20"/>
                <w:szCs w:val="20"/>
              </w:rPr>
              <w:t>Water Quality</w:t>
            </w:r>
          </w:p>
        </w:tc>
        <w:tc>
          <w:tcPr>
            <w:tcW w:w="1077" w:type="dxa"/>
          </w:tcPr>
          <w:p w14:paraId="43CCDF49" w14:textId="617E634D" w:rsidR="00127DF9" w:rsidRPr="00315244" w:rsidRDefault="00127DF9">
            <w:pPr>
              <w:rPr>
                <w:b/>
                <w:sz w:val="20"/>
                <w:szCs w:val="20"/>
              </w:rPr>
            </w:pPr>
            <w:r w:rsidRPr="00315244">
              <w:rPr>
                <w:b/>
                <w:sz w:val="20"/>
                <w:szCs w:val="20"/>
              </w:rPr>
              <w:t>Flood Risk</w:t>
            </w:r>
          </w:p>
        </w:tc>
        <w:tc>
          <w:tcPr>
            <w:tcW w:w="1077" w:type="dxa"/>
          </w:tcPr>
          <w:p w14:paraId="6DCAC6C0" w14:textId="4D315871" w:rsidR="00127DF9" w:rsidRPr="00315244" w:rsidRDefault="00127DF9">
            <w:pPr>
              <w:rPr>
                <w:b/>
                <w:sz w:val="20"/>
                <w:szCs w:val="20"/>
              </w:rPr>
            </w:pPr>
            <w:r w:rsidRPr="00315244">
              <w:rPr>
                <w:b/>
                <w:sz w:val="20"/>
                <w:szCs w:val="20"/>
              </w:rPr>
              <w:t>Biodiversity &amp; Ecology</w:t>
            </w:r>
          </w:p>
        </w:tc>
        <w:tc>
          <w:tcPr>
            <w:tcW w:w="1134" w:type="dxa"/>
          </w:tcPr>
          <w:p w14:paraId="1737B707" w14:textId="31ABC5F4" w:rsidR="00127DF9" w:rsidRPr="00315244" w:rsidRDefault="00127DF9">
            <w:pPr>
              <w:rPr>
                <w:b/>
                <w:sz w:val="20"/>
                <w:szCs w:val="20"/>
              </w:rPr>
            </w:pPr>
            <w:r w:rsidRPr="00315244">
              <w:rPr>
                <w:b/>
                <w:sz w:val="20"/>
                <w:szCs w:val="20"/>
              </w:rPr>
              <w:t>Recreation, Leisure &amp; Landscape</w:t>
            </w:r>
          </w:p>
        </w:tc>
        <w:tc>
          <w:tcPr>
            <w:tcW w:w="1191" w:type="dxa"/>
          </w:tcPr>
          <w:p w14:paraId="191014D7" w14:textId="785A16C5" w:rsidR="00127DF9" w:rsidRPr="00315244" w:rsidRDefault="00127DF9">
            <w:pPr>
              <w:rPr>
                <w:b/>
                <w:sz w:val="20"/>
                <w:szCs w:val="20"/>
              </w:rPr>
            </w:pPr>
            <w:r w:rsidRPr="00315244">
              <w:rPr>
                <w:b/>
                <w:sz w:val="20"/>
                <w:szCs w:val="20"/>
              </w:rPr>
              <w:t>Community Engagement</w:t>
            </w:r>
          </w:p>
        </w:tc>
      </w:tr>
      <w:bookmarkEnd w:id="0"/>
      <w:tr w:rsidR="00EA5313" w14:paraId="3920E4D5" w14:textId="77777777" w:rsidTr="00280E8B">
        <w:tc>
          <w:tcPr>
            <w:tcW w:w="2241" w:type="dxa"/>
            <w:shd w:val="clear" w:color="auto" w:fill="auto"/>
          </w:tcPr>
          <w:p w14:paraId="563B3259" w14:textId="277DEBCD" w:rsidR="00EA5313" w:rsidRDefault="00C2584D" w:rsidP="00C5321F">
            <w:r>
              <w:t>INNS Action Plan</w:t>
            </w:r>
          </w:p>
        </w:tc>
        <w:tc>
          <w:tcPr>
            <w:tcW w:w="1560" w:type="dxa"/>
          </w:tcPr>
          <w:p w14:paraId="168CA6EF" w14:textId="77777777" w:rsidR="0048311E" w:rsidRDefault="00C7644D" w:rsidP="00C5321F">
            <w:r>
              <w:t>Bollin</w:t>
            </w:r>
          </w:p>
          <w:p w14:paraId="380759A6" w14:textId="5769F298" w:rsidR="00EA5313" w:rsidRDefault="00C7644D" w:rsidP="00C5321F">
            <w:r>
              <w:t>Birkin Brook</w:t>
            </w:r>
          </w:p>
        </w:tc>
        <w:tc>
          <w:tcPr>
            <w:tcW w:w="1984" w:type="dxa"/>
          </w:tcPr>
          <w:p w14:paraId="0D06FC91" w14:textId="4695B1AB" w:rsidR="00EA5313" w:rsidRDefault="00EE714A" w:rsidP="00C5321F">
            <w:r>
              <w:t>n/a</w:t>
            </w:r>
          </w:p>
        </w:tc>
        <w:tc>
          <w:tcPr>
            <w:tcW w:w="1508" w:type="dxa"/>
          </w:tcPr>
          <w:p w14:paraId="6013F02F" w14:textId="3C3B1948" w:rsidR="00EA5313" w:rsidRDefault="00A46D7B" w:rsidP="00C5321F">
            <w:r>
              <w:t>BEACON</w:t>
            </w:r>
          </w:p>
        </w:tc>
        <w:tc>
          <w:tcPr>
            <w:tcW w:w="2041" w:type="dxa"/>
          </w:tcPr>
          <w:p w14:paraId="77F22D09" w14:textId="42DBC74A" w:rsidR="00EA5313" w:rsidRDefault="00A46D7B" w:rsidP="00150FEB">
            <w:r>
              <w:t>Completed</w:t>
            </w:r>
            <w:r w:rsidR="0038535C">
              <w:t xml:space="preserve"> </w:t>
            </w:r>
            <w:r w:rsidR="00CA7896">
              <w:t>Feb.21 following key partners meeting</w:t>
            </w:r>
          </w:p>
        </w:tc>
        <w:tc>
          <w:tcPr>
            <w:tcW w:w="1077" w:type="dxa"/>
            <w:vAlign w:val="center"/>
          </w:tcPr>
          <w:p w14:paraId="20B6BD0A" w14:textId="77777777" w:rsidR="00EA5313" w:rsidRPr="000E4D20" w:rsidRDefault="00EA5313" w:rsidP="00C5321F">
            <w:pPr>
              <w:jc w:val="center"/>
              <w:rPr>
                <w:sz w:val="24"/>
                <w:szCs w:val="24"/>
              </w:rPr>
            </w:pPr>
          </w:p>
        </w:tc>
        <w:tc>
          <w:tcPr>
            <w:tcW w:w="1077" w:type="dxa"/>
            <w:vAlign w:val="center"/>
          </w:tcPr>
          <w:p w14:paraId="1D7EEB65" w14:textId="77777777" w:rsidR="00EA5313" w:rsidRPr="000E4D20" w:rsidRDefault="00EA5313" w:rsidP="00C5321F">
            <w:pPr>
              <w:jc w:val="center"/>
              <w:rPr>
                <w:sz w:val="24"/>
                <w:szCs w:val="24"/>
              </w:rPr>
            </w:pPr>
          </w:p>
        </w:tc>
        <w:tc>
          <w:tcPr>
            <w:tcW w:w="1077" w:type="dxa"/>
            <w:vAlign w:val="center"/>
          </w:tcPr>
          <w:p w14:paraId="29195577" w14:textId="6832F017" w:rsidR="00EA5313" w:rsidRPr="000E4D20" w:rsidRDefault="00A46D7B" w:rsidP="00C5321F">
            <w:pPr>
              <w:jc w:val="center"/>
              <w:rPr>
                <w:sz w:val="24"/>
                <w:szCs w:val="24"/>
              </w:rPr>
            </w:pPr>
            <w:r w:rsidRPr="000E4D20">
              <w:rPr>
                <w:sz w:val="24"/>
                <w:szCs w:val="24"/>
              </w:rPr>
              <w:sym w:font="Wingdings" w:char="F0FC"/>
            </w:r>
          </w:p>
        </w:tc>
        <w:tc>
          <w:tcPr>
            <w:tcW w:w="1134" w:type="dxa"/>
            <w:vAlign w:val="center"/>
          </w:tcPr>
          <w:p w14:paraId="4BF06C8E" w14:textId="77777777" w:rsidR="00EA5313" w:rsidRPr="000E4D20" w:rsidRDefault="00EA5313" w:rsidP="00C5321F">
            <w:pPr>
              <w:jc w:val="center"/>
              <w:rPr>
                <w:sz w:val="24"/>
                <w:szCs w:val="24"/>
              </w:rPr>
            </w:pPr>
          </w:p>
        </w:tc>
        <w:tc>
          <w:tcPr>
            <w:tcW w:w="1191" w:type="dxa"/>
            <w:vAlign w:val="center"/>
          </w:tcPr>
          <w:p w14:paraId="61815182" w14:textId="77777777" w:rsidR="00EA5313" w:rsidRPr="000E4D20" w:rsidRDefault="00EA5313" w:rsidP="00C5321F">
            <w:pPr>
              <w:jc w:val="center"/>
              <w:rPr>
                <w:sz w:val="24"/>
                <w:szCs w:val="24"/>
              </w:rPr>
            </w:pPr>
          </w:p>
        </w:tc>
      </w:tr>
      <w:tr w:rsidR="00127DF9" w14:paraId="7BEE1162" w14:textId="21A9481A" w:rsidTr="00280E8B">
        <w:tc>
          <w:tcPr>
            <w:tcW w:w="2241" w:type="dxa"/>
            <w:shd w:val="clear" w:color="auto" w:fill="auto"/>
          </w:tcPr>
          <w:p w14:paraId="160FA016" w14:textId="0F52879F" w:rsidR="00127DF9" w:rsidRDefault="00127DF9" w:rsidP="00C5321F">
            <w:r>
              <w:t xml:space="preserve">INNS </w:t>
            </w:r>
            <w:r w:rsidR="00496878">
              <w:t>–</w:t>
            </w:r>
            <w:r>
              <w:t xml:space="preserve"> Balsam Bashing</w:t>
            </w:r>
          </w:p>
        </w:tc>
        <w:tc>
          <w:tcPr>
            <w:tcW w:w="1560" w:type="dxa"/>
          </w:tcPr>
          <w:p w14:paraId="707D1AD2" w14:textId="77777777" w:rsidR="00127DF9" w:rsidRDefault="00127DF9" w:rsidP="00C5321F">
            <w:r>
              <w:t>Bollin</w:t>
            </w:r>
          </w:p>
        </w:tc>
        <w:tc>
          <w:tcPr>
            <w:tcW w:w="1984" w:type="dxa"/>
          </w:tcPr>
          <w:p w14:paraId="0A7AD84A" w14:textId="77777777" w:rsidR="00127DF9" w:rsidRDefault="00127DF9" w:rsidP="00C5321F">
            <w:r>
              <w:t>Donations from landowners</w:t>
            </w:r>
          </w:p>
          <w:p w14:paraId="25C834E0" w14:textId="730D8EDC" w:rsidR="00127DF9" w:rsidRDefault="00127DF9" w:rsidP="00C5321F">
            <w:r>
              <w:t>UU Enforcement Undertaking</w:t>
            </w:r>
          </w:p>
        </w:tc>
        <w:tc>
          <w:tcPr>
            <w:tcW w:w="1508" w:type="dxa"/>
          </w:tcPr>
          <w:p w14:paraId="371A02E6" w14:textId="43FB1F12" w:rsidR="00127DF9" w:rsidRDefault="00127DF9" w:rsidP="00C07ACE">
            <w:r>
              <w:t>MRT (SP/JF</w:t>
            </w:r>
            <w:r w:rsidR="00963A1C">
              <w:t>)</w:t>
            </w:r>
            <w:r w:rsidR="00C07ACE">
              <w:t>, BVP (</w:t>
            </w:r>
            <w:r>
              <w:t>EH)</w:t>
            </w:r>
          </w:p>
        </w:tc>
        <w:tc>
          <w:tcPr>
            <w:tcW w:w="2041" w:type="dxa"/>
          </w:tcPr>
          <w:p w14:paraId="2B1FCD80" w14:textId="6BA1A025" w:rsidR="00127DF9" w:rsidRDefault="00150FEB" w:rsidP="00150FEB">
            <w:r>
              <w:t>Completed</w:t>
            </w:r>
          </w:p>
        </w:tc>
        <w:tc>
          <w:tcPr>
            <w:tcW w:w="1077" w:type="dxa"/>
            <w:vAlign w:val="center"/>
          </w:tcPr>
          <w:p w14:paraId="7B609A10" w14:textId="2445F6F5" w:rsidR="00127DF9" w:rsidRPr="000E4D20" w:rsidRDefault="00127DF9" w:rsidP="00C5321F">
            <w:pPr>
              <w:jc w:val="center"/>
              <w:rPr>
                <w:sz w:val="24"/>
                <w:szCs w:val="24"/>
              </w:rPr>
            </w:pPr>
          </w:p>
        </w:tc>
        <w:tc>
          <w:tcPr>
            <w:tcW w:w="1077" w:type="dxa"/>
            <w:vAlign w:val="center"/>
          </w:tcPr>
          <w:p w14:paraId="228CADC1" w14:textId="77777777" w:rsidR="00127DF9" w:rsidRPr="000E4D20" w:rsidRDefault="00127DF9" w:rsidP="00C5321F">
            <w:pPr>
              <w:jc w:val="center"/>
              <w:rPr>
                <w:sz w:val="24"/>
                <w:szCs w:val="24"/>
              </w:rPr>
            </w:pPr>
          </w:p>
        </w:tc>
        <w:tc>
          <w:tcPr>
            <w:tcW w:w="1077" w:type="dxa"/>
            <w:vAlign w:val="center"/>
          </w:tcPr>
          <w:p w14:paraId="6677E307" w14:textId="0B2E1089" w:rsidR="00127DF9" w:rsidRPr="000E4D20" w:rsidRDefault="00127DF9" w:rsidP="00C5321F">
            <w:pPr>
              <w:jc w:val="center"/>
              <w:rPr>
                <w:sz w:val="24"/>
                <w:szCs w:val="24"/>
              </w:rPr>
            </w:pPr>
            <w:r w:rsidRPr="000E4D20">
              <w:rPr>
                <w:sz w:val="24"/>
                <w:szCs w:val="24"/>
              </w:rPr>
              <w:sym w:font="Wingdings" w:char="F0FC"/>
            </w:r>
          </w:p>
        </w:tc>
        <w:tc>
          <w:tcPr>
            <w:tcW w:w="1134" w:type="dxa"/>
            <w:vAlign w:val="center"/>
          </w:tcPr>
          <w:p w14:paraId="204D7510" w14:textId="77777777" w:rsidR="00127DF9" w:rsidRPr="000E4D20" w:rsidRDefault="00127DF9" w:rsidP="00C5321F">
            <w:pPr>
              <w:jc w:val="center"/>
              <w:rPr>
                <w:sz w:val="24"/>
                <w:szCs w:val="24"/>
              </w:rPr>
            </w:pPr>
          </w:p>
        </w:tc>
        <w:tc>
          <w:tcPr>
            <w:tcW w:w="1191" w:type="dxa"/>
            <w:vAlign w:val="center"/>
          </w:tcPr>
          <w:p w14:paraId="763FCFE7" w14:textId="1DC060B9" w:rsidR="00127DF9" w:rsidRPr="000E4D20" w:rsidRDefault="00127DF9" w:rsidP="00C5321F">
            <w:pPr>
              <w:jc w:val="center"/>
              <w:rPr>
                <w:sz w:val="24"/>
                <w:szCs w:val="24"/>
              </w:rPr>
            </w:pPr>
            <w:r w:rsidRPr="000E4D20">
              <w:rPr>
                <w:sz w:val="24"/>
                <w:szCs w:val="24"/>
              </w:rPr>
              <w:sym w:font="Wingdings" w:char="F0FC"/>
            </w:r>
          </w:p>
        </w:tc>
      </w:tr>
      <w:tr w:rsidR="00127DF9" w14:paraId="4511B9FC" w14:textId="1A4CC882" w:rsidTr="00E92E9D">
        <w:tc>
          <w:tcPr>
            <w:tcW w:w="2241" w:type="dxa"/>
          </w:tcPr>
          <w:p w14:paraId="51812794" w14:textId="11BF4121" w:rsidR="00127DF9" w:rsidRDefault="00127DF9" w:rsidP="00592644">
            <w:r>
              <w:t xml:space="preserve">INNS </w:t>
            </w:r>
            <w:r w:rsidR="00496878">
              <w:t>–</w:t>
            </w:r>
            <w:r>
              <w:t xml:space="preserve"> GHW Spraying</w:t>
            </w:r>
          </w:p>
        </w:tc>
        <w:tc>
          <w:tcPr>
            <w:tcW w:w="1560" w:type="dxa"/>
          </w:tcPr>
          <w:p w14:paraId="62D82C9C" w14:textId="77777777" w:rsidR="00127DF9" w:rsidRDefault="00127DF9" w:rsidP="00592644">
            <w:r>
              <w:t>Bollin</w:t>
            </w:r>
          </w:p>
        </w:tc>
        <w:tc>
          <w:tcPr>
            <w:tcW w:w="1984" w:type="dxa"/>
          </w:tcPr>
          <w:p w14:paraId="1A344054" w14:textId="77777777" w:rsidR="00127DF9" w:rsidRDefault="00127DF9" w:rsidP="00592644">
            <w:r>
              <w:t>Donations from landowners</w:t>
            </w:r>
          </w:p>
          <w:p w14:paraId="6194A051" w14:textId="77777777" w:rsidR="00127DF9" w:rsidRDefault="00127DF9" w:rsidP="00592644"/>
        </w:tc>
        <w:tc>
          <w:tcPr>
            <w:tcW w:w="1508" w:type="dxa"/>
          </w:tcPr>
          <w:p w14:paraId="65CEAEB8" w14:textId="3F38B370" w:rsidR="00127DF9" w:rsidRDefault="00127DF9" w:rsidP="00E66CF4">
            <w:r>
              <w:t>MRT (SP/JF)</w:t>
            </w:r>
          </w:p>
        </w:tc>
        <w:tc>
          <w:tcPr>
            <w:tcW w:w="2041" w:type="dxa"/>
          </w:tcPr>
          <w:p w14:paraId="2FE8D5EA" w14:textId="2152A618" w:rsidR="00127DF9" w:rsidRDefault="00766093" w:rsidP="00150FEB">
            <w:r>
              <w:t>Completed</w:t>
            </w:r>
          </w:p>
        </w:tc>
        <w:tc>
          <w:tcPr>
            <w:tcW w:w="1077" w:type="dxa"/>
            <w:vAlign w:val="center"/>
          </w:tcPr>
          <w:p w14:paraId="467EDB81" w14:textId="60C63B96" w:rsidR="00127DF9" w:rsidRPr="000E4D20" w:rsidRDefault="00127DF9" w:rsidP="00592644">
            <w:pPr>
              <w:jc w:val="center"/>
              <w:rPr>
                <w:sz w:val="24"/>
                <w:szCs w:val="24"/>
              </w:rPr>
            </w:pPr>
          </w:p>
        </w:tc>
        <w:tc>
          <w:tcPr>
            <w:tcW w:w="1077" w:type="dxa"/>
            <w:vAlign w:val="center"/>
          </w:tcPr>
          <w:p w14:paraId="267AA956" w14:textId="77777777" w:rsidR="00127DF9" w:rsidRPr="000E4D20" w:rsidRDefault="00127DF9" w:rsidP="00592644">
            <w:pPr>
              <w:jc w:val="center"/>
              <w:rPr>
                <w:sz w:val="24"/>
                <w:szCs w:val="24"/>
              </w:rPr>
            </w:pPr>
          </w:p>
        </w:tc>
        <w:tc>
          <w:tcPr>
            <w:tcW w:w="1077" w:type="dxa"/>
            <w:vAlign w:val="center"/>
          </w:tcPr>
          <w:p w14:paraId="5BD9D24F" w14:textId="40F8719D" w:rsidR="00127DF9" w:rsidRPr="000E4D20" w:rsidRDefault="00127DF9" w:rsidP="00592644">
            <w:pPr>
              <w:jc w:val="center"/>
              <w:rPr>
                <w:sz w:val="24"/>
                <w:szCs w:val="24"/>
              </w:rPr>
            </w:pPr>
            <w:r w:rsidRPr="000E4D20">
              <w:rPr>
                <w:sz w:val="24"/>
                <w:szCs w:val="24"/>
              </w:rPr>
              <w:sym w:font="Wingdings" w:char="F0FC"/>
            </w:r>
          </w:p>
        </w:tc>
        <w:tc>
          <w:tcPr>
            <w:tcW w:w="1134" w:type="dxa"/>
            <w:vAlign w:val="center"/>
          </w:tcPr>
          <w:p w14:paraId="4E65F72A" w14:textId="77777777" w:rsidR="00127DF9" w:rsidRPr="000E4D20" w:rsidRDefault="00127DF9" w:rsidP="00592644">
            <w:pPr>
              <w:jc w:val="center"/>
              <w:rPr>
                <w:sz w:val="24"/>
                <w:szCs w:val="24"/>
              </w:rPr>
            </w:pPr>
          </w:p>
        </w:tc>
        <w:tc>
          <w:tcPr>
            <w:tcW w:w="1191" w:type="dxa"/>
            <w:vAlign w:val="center"/>
          </w:tcPr>
          <w:p w14:paraId="0EB4D91A" w14:textId="162B6A48" w:rsidR="00127DF9" w:rsidRPr="000E4D20" w:rsidRDefault="00127DF9" w:rsidP="00592644">
            <w:pPr>
              <w:jc w:val="center"/>
              <w:rPr>
                <w:sz w:val="24"/>
                <w:szCs w:val="24"/>
              </w:rPr>
            </w:pPr>
            <w:r w:rsidRPr="000E4D20">
              <w:rPr>
                <w:sz w:val="24"/>
                <w:szCs w:val="24"/>
              </w:rPr>
              <w:sym w:font="Wingdings" w:char="F0FC"/>
            </w:r>
          </w:p>
        </w:tc>
      </w:tr>
      <w:tr w:rsidR="00127DF9" w14:paraId="1817E79C" w14:textId="3758139B" w:rsidTr="00E92E9D">
        <w:tc>
          <w:tcPr>
            <w:tcW w:w="2241" w:type="dxa"/>
          </w:tcPr>
          <w:p w14:paraId="58E41F45" w14:textId="30889CC4" w:rsidR="00127DF9" w:rsidRDefault="00127DF9" w:rsidP="00592644">
            <w:r>
              <w:t xml:space="preserve">INNS </w:t>
            </w:r>
            <w:r w:rsidR="00496878">
              <w:t>–</w:t>
            </w:r>
            <w:r>
              <w:t xml:space="preserve"> JKW control</w:t>
            </w:r>
          </w:p>
        </w:tc>
        <w:tc>
          <w:tcPr>
            <w:tcW w:w="1560" w:type="dxa"/>
          </w:tcPr>
          <w:p w14:paraId="42909014" w14:textId="77777777" w:rsidR="00127DF9" w:rsidRDefault="00127DF9" w:rsidP="00592644">
            <w:r>
              <w:t>Bollin</w:t>
            </w:r>
          </w:p>
        </w:tc>
        <w:tc>
          <w:tcPr>
            <w:tcW w:w="1984" w:type="dxa"/>
          </w:tcPr>
          <w:p w14:paraId="3EF42C54" w14:textId="77777777" w:rsidR="00127DF9" w:rsidRDefault="00127DF9" w:rsidP="00592644">
            <w:r>
              <w:t>Donations from landowners</w:t>
            </w:r>
          </w:p>
          <w:p w14:paraId="38555CEC" w14:textId="77777777" w:rsidR="00127DF9" w:rsidRDefault="00127DF9" w:rsidP="00592644"/>
        </w:tc>
        <w:tc>
          <w:tcPr>
            <w:tcW w:w="1508" w:type="dxa"/>
          </w:tcPr>
          <w:p w14:paraId="042199DA" w14:textId="79CBF03D" w:rsidR="00127DF9" w:rsidRDefault="00127DF9" w:rsidP="00592644">
            <w:r w:rsidRPr="00E66CF4">
              <w:t>MRT (SP/JF)</w:t>
            </w:r>
          </w:p>
        </w:tc>
        <w:tc>
          <w:tcPr>
            <w:tcW w:w="2041" w:type="dxa"/>
          </w:tcPr>
          <w:p w14:paraId="5CE39D9A" w14:textId="02189E38" w:rsidR="00127DF9" w:rsidRDefault="00766093" w:rsidP="00150FEB">
            <w:r>
              <w:t>Completed</w:t>
            </w:r>
          </w:p>
        </w:tc>
        <w:tc>
          <w:tcPr>
            <w:tcW w:w="1077" w:type="dxa"/>
            <w:vAlign w:val="center"/>
          </w:tcPr>
          <w:p w14:paraId="552AE6CE" w14:textId="4B50268C" w:rsidR="00127DF9" w:rsidRPr="000E4D20" w:rsidRDefault="00127DF9" w:rsidP="00592644">
            <w:pPr>
              <w:jc w:val="center"/>
              <w:rPr>
                <w:sz w:val="24"/>
                <w:szCs w:val="24"/>
              </w:rPr>
            </w:pPr>
          </w:p>
        </w:tc>
        <w:tc>
          <w:tcPr>
            <w:tcW w:w="1077" w:type="dxa"/>
            <w:vAlign w:val="center"/>
          </w:tcPr>
          <w:p w14:paraId="59C281C5" w14:textId="77777777" w:rsidR="00127DF9" w:rsidRPr="000E4D20" w:rsidRDefault="00127DF9" w:rsidP="00592644">
            <w:pPr>
              <w:jc w:val="center"/>
              <w:rPr>
                <w:sz w:val="24"/>
                <w:szCs w:val="24"/>
              </w:rPr>
            </w:pPr>
          </w:p>
        </w:tc>
        <w:tc>
          <w:tcPr>
            <w:tcW w:w="1077" w:type="dxa"/>
            <w:vAlign w:val="center"/>
          </w:tcPr>
          <w:p w14:paraId="055D83C3" w14:textId="1A990242" w:rsidR="00127DF9" w:rsidRPr="000E4D20" w:rsidRDefault="00127DF9" w:rsidP="00592644">
            <w:pPr>
              <w:jc w:val="center"/>
              <w:rPr>
                <w:sz w:val="24"/>
                <w:szCs w:val="24"/>
              </w:rPr>
            </w:pPr>
            <w:r w:rsidRPr="000E4D20">
              <w:rPr>
                <w:sz w:val="24"/>
                <w:szCs w:val="24"/>
              </w:rPr>
              <w:sym w:font="Wingdings" w:char="F0FC"/>
            </w:r>
          </w:p>
        </w:tc>
        <w:tc>
          <w:tcPr>
            <w:tcW w:w="1134" w:type="dxa"/>
            <w:vAlign w:val="center"/>
          </w:tcPr>
          <w:p w14:paraId="6F947C1F" w14:textId="77777777" w:rsidR="00127DF9" w:rsidRPr="000E4D20" w:rsidRDefault="00127DF9" w:rsidP="00592644">
            <w:pPr>
              <w:jc w:val="center"/>
              <w:rPr>
                <w:sz w:val="24"/>
                <w:szCs w:val="24"/>
              </w:rPr>
            </w:pPr>
          </w:p>
        </w:tc>
        <w:tc>
          <w:tcPr>
            <w:tcW w:w="1191" w:type="dxa"/>
            <w:vAlign w:val="center"/>
          </w:tcPr>
          <w:p w14:paraId="48F4EF75" w14:textId="7AF856FE" w:rsidR="00127DF9" w:rsidRPr="000E4D20" w:rsidRDefault="00127DF9" w:rsidP="00592644">
            <w:pPr>
              <w:jc w:val="center"/>
              <w:rPr>
                <w:sz w:val="24"/>
                <w:szCs w:val="24"/>
              </w:rPr>
            </w:pPr>
            <w:r w:rsidRPr="000E4D20">
              <w:rPr>
                <w:sz w:val="24"/>
                <w:szCs w:val="24"/>
              </w:rPr>
              <w:sym w:font="Wingdings" w:char="F0FC"/>
            </w:r>
          </w:p>
        </w:tc>
      </w:tr>
      <w:tr w:rsidR="00127DF9" w14:paraId="510BC222" w14:textId="6CFCF3C9" w:rsidTr="00E92E9D">
        <w:tc>
          <w:tcPr>
            <w:tcW w:w="2241" w:type="dxa"/>
          </w:tcPr>
          <w:p w14:paraId="3E944286" w14:textId="77777777" w:rsidR="00127DF9" w:rsidRDefault="00127DF9" w:rsidP="00592644">
            <w:r>
              <w:t>Strategic approach at Bowdon WWTW to INNS control</w:t>
            </w:r>
          </w:p>
        </w:tc>
        <w:tc>
          <w:tcPr>
            <w:tcW w:w="1560" w:type="dxa"/>
          </w:tcPr>
          <w:p w14:paraId="58C8ED50" w14:textId="77777777" w:rsidR="00127DF9" w:rsidRDefault="00127DF9" w:rsidP="00592644">
            <w:r>
              <w:t>Bollin</w:t>
            </w:r>
          </w:p>
          <w:p w14:paraId="2F44FFB6" w14:textId="77777777" w:rsidR="00127DF9" w:rsidRDefault="00127DF9" w:rsidP="00592644">
            <w:r>
              <w:t>Birkin Brook</w:t>
            </w:r>
          </w:p>
        </w:tc>
        <w:tc>
          <w:tcPr>
            <w:tcW w:w="1984" w:type="dxa"/>
          </w:tcPr>
          <w:p w14:paraId="0512C74E" w14:textId="77777777" w:rsidR="00127DF9" w:rsidRDefault="00127DF9" w:rsidP="00592644">
            <w:r>
              <w:t>From partner organisations own INNS funds</w:t>
            </w:r>
          </w:p>
        </w:tc>
        <w:tc>
          <w:tcPr>
            <w:tcW w:w="1508" w:type="dxa"/>
          </w:tcPr>
          <w:p w14:paraId="22A6D71F" w14:textId="3709ED48" w:rsidR="00127DF9" w:rsidRDefault="00766093" w:rsidP="00592644">
            <w:r>
              <w:t>MRT (</w:t>
            </w:r>
            <w:r w:rsidR="00127DF9">
              <w:t>SP/JF</w:t>
            </w:r>
            <w:r w:rsidR="00C07ACE">
              <w:t>) BVP (</w:t>
            </w:r>
            <w:r w:rsidR="00127DF9">
              <w:t>EH</w:t>
            </w:r>
            <w:r>
              <w:t>)</w:t>
            </w:r>
            <w:r w:rsidR="00BA039D">
              <w:t>,</w:t>
            </w:r>
            <w:r w:rsidR="00140F71">
              <w:t xml:space="preserve"> </w:t>
            </w:r>
            <w:r w:rsidR="00127DF9">
              <w:t>UU</w:t>
            </w:r>
            <w:r w:rsidR="00BA039D">
              <w:t xml:space="preserve">, </w:t>
            </w:r>
            <w:r w:rsidR="00127DF9">
              <w:t>Nat Trust</w:t>
            </w:r>
            <w:r w:rsidR="00BA039D">
              <w:t>,</w:t>
            </w:r>
            <w:r w:rsidR="00127DF9">
              <w:t xml:space="preserve"> DM</w:t>
            </w:r>
            <w:r w:rsidR="00BF5611">
              <w:t xml:space="preserve"> (AW/NP)</w:t>
            </w:r>
            <w:r w:rsidR="00BA039D">
              <w:t xml:space="preserve">, </w:t>
            </w:r>
            <w:r w:rsidR="00127DF9">
              <w:t>Church Commissioners</w:t>
            </w:r>
            <w:r w:rsidR="00BA039D">
              <w:t>,</w:t>
            </w:r>
            <w:r w:rsidR="00127DF9">
              <w:t xml:space="preserve"> FOBB</w:t>
            </w:r>
            <w:r w:rsidR="00BF5611">
              <w:t xml:space="preserve"> (BG)</w:t>
            </w:r>
            <w:r w:rsidR="0010334B">
              <w:t xml:space="preserve">, </w:t>
            </w:r>
          </w:p>
          <w:p w14:paraId="0FAA4493" w14:textId="77777777" w:rsidR="00127DF9" w:rsidRDefault="00127DF9" w:rsidP="00592644">
            <w:r>
              <w:t>tenant farmers</w:t>
            </w:r>
            <w:r w:rsidR="00BF5611">
              <w:t xml:space="preserve"> (WB)</w:t>
            </w:r>
          </w:p>
          <w:p w14:paraId="75978665" w14:textId="67D48C16" w:rsidR="00BF5611" w:rsidRDefault="00BF5611" w:rsidP="00592644">
            <w:r>
              <w:t>United Utilities (MS/SH), Highways England</w:t>
            </w:r>
          </w:p>
        </w:tc>
        <w:tc>
          <w:tcPr>
            <w:tcW w:w="2041" w:type="dxa"/>
          </w:tcPr>
          <w:p w14:paraId="41C8F2BE" w14:textId="175DA10E" w:rsidR="00127DF9" w:rsidRDefault="00BF5611" w:rsidP="00150FEB">
            <w:r>
              <w:t>Ongoing – partners met and regular feedback and reporting on progress during INNS control season</w:t>
            </w:r>
          </w:p>
        </w:tc>
        <w:tc>
          <w:tcPr>
            <w:tcW w:w="1077" w:type="dxa"/>
            <w:vAlign w:val="center"/>
          </w:tcPr>
          <w:p w14:paraId="61DEE3D6" w14:textId="1AFEF350" w:rsidR="00127DF9" w:rsidRPr="000E4D20" w:rsidRDefault="00127DF9" w:rsidP="00592644">
            <w:pPr>
              <w:jc w:val="center"/>
              <w:rPr>
                <w:sz w:val="24"/>
                <w:szCs w:val="24"/>
              </w:rPr>
            </w:pPr>
          </w:p>
        </w:tc>
        <w:tc>
          <w:tcPr>
            <w:tcW w:w="1077" w:type="dxa"/>
            <w:vAlign w:val="center"/>
          </w:tcPr>
          <w:p w14:paraId="07B1C251" w14:textId="77777777" w:rsidR="00127DF9" w:rsidRPr="000E4D20" w:rsidRDefault="00127DF9" w:rsidP="00592644">
            <w:pPr>
              <w:jc w:val="center"/>
              <w:rPr>
                <w:sz w:val="24"/>
                <w:szCs w:val="24"/>
              </w:rPr>
            </w:pPr>
          </w:p>
        </w:tc>
        <w:tc>
          <w:tcPr>
            <w:tcW w:w="1077" w:type="dxa"/>
            <w:vAlign w:val="center"/>
          </w:tcPr>
          <w:p w14:paraId="04452B30" w14:textId="6F45F0B5" w:rsidR="00127DF9" w:rsidRPr="000E4D20" w:rsidRDefault="00127DF9" w:rsidP="00592644">
            <w:pPr>
              <w:jc w:val="center"/>
              <w:rPr>
                <w:sz w:val="24"/>
                <w:szCs w:val="24"/>
              </w:rPr>
            </w:pPr>
            <w:r w:rsidRPr="000E4D20">
              <w:rPr>
                <w:sz w:val="24"/>
                <w:szCs w:val="24"/>
              </w:rPr>
              <w:sym w:font="Wingdings" w:char="F0FC"/>
            </w:r>
          </w:p>
        </w:tc>
        <w:tc>
          <w:tcPr>
            <w:tcW w:w="1134" w:type="dxa"/>
            <w:vAlign w:val="center"/>
          </w:tcPr>
          <w:p w14:paraId="6C968C61" w14:textId="77777777" w:rsidR="00127DF9" w:rsidRPr="000E4D20" w:rsidRDefault="00127DF9" w:rsidP="00592644">
            <w:pPr>
              <w:jc w:val="center"/>
              <w:rPr>
                <w:sz w:val="24"/>
                <w:szCs w:val="24"/>
              </w:rPr>
            </w:pPr>
          </w:p>
        </w:tc>
        <w:tc>
          <w:tcPr>
            <w:tcW w:w="1191" w:type="dxa"/>
            <w:vAlign w:val="center"/>
          </w:tcPr>
          <w:p w14:paraId="3F214507" w14:textId="784975DA" w:rsidR="00127DF9" w:rsidRPr="000E4D20" w:rsidRDefault="00127DF9" w:rsidP="00592644">
            <w:pPr>
              <w:jc w:val="center"/>
              <w:rPr>
                <w:sz w:val="24"/>
                <w:szCs w:val="24"/>
              </w:rPr>
            </w:pPr>
            <w:r w:rsidRPr="000E4D20">
              <w:rPr>
                <w:sz w:val="24"/>
                <w:szCs w:val="24"/>
              </w:rPr>
              <w:sym w:font="Wingdings" w:char="F0FC"/>
            </w:r>
          </w:p>
        </w:tc>
      </w:tr>
      <w:tr w:rsidR="00127DF9" w14:paraId="7E404A01" w14:textId="619CF909" w:rsidTr="00E92E9D">
        <w:tc>
          <w:tcPr>
            <w:tcW w:w="2241" w:type="dxa"/>
          </w:tcPr>
          <w:p w14:paraId="2905E4F5" w14:textId="77777777" w:rsidR="00127DF9" w:rsidRDefault="00127DF9" w:rsidP="00592644">
            <w:r>
              <w:t>INNS Control on Network Rail land at Macclesfield (JKW and HB) and Ashley (GHW)</w:t>
            </w:r>
          </w:p>
        </w:tc>
        <w:tc>
          <w:tcPr>
            <w:tcW w:w="1560" w:type="dxa"/>
          </w:tcPr>
          <w:p w14:paraId="622D53E8" w14:textId="77777777" w:rsidR="00127DF9" w:rsidRDefault="00127DF9" w:rsidP="00592644">
            <w:r>
              <w:t xml:space="preserve">Bollin </w:t>
            </w:r>
          </w:p>
          <w:p w14:paraId="7FF8E15D" w14:textId="77777777" w:rsidR="00127DF9" w:rsidRDefault="00127DF9" w:rsidP="00592644">
            <w:r>
              <w:t>Birkin Brook</w:t>
            </w:r>
          </w:p>
        </w:tc>
        <w:tc>
          <w:tcPr>
            <w:tcW w:w="1984" w:type="dxa"/>
          </w:tcPr>
          <w:p w14:paraId="09EAB72E" w14:textId="77777777" w:rsidR="00127DF9" w:rsidRDefault="00127DF9" w:rsidP="00592644">
            <w:r>
              <w:t>Network Rail Budget</w:t>
            </w:r>
          </w:p>
        </w:tc>
        <w:tc>
          <w:tcPr>
            <w:tcW w:w="1508" w:type="dxa"/>
          </w:tcPr>
          <w:p w14:paraId="0C822612" w14:textId="28847699" w:rsidR="00127DF9" w:rsidRDefault="0010334B" w:rsidP="00592644">
            <w:r>
              <w:t>MRT (</w:t>
            </w:r>
            <w:r w:rsidR="00127DF9">
              <w:t>JF</w:t>
            </w:r>
            <w:r>
              <w:t>)</w:t>
            </w:r>
          </w:p>
          <w:p w14:paraId="77FB4984" w14:textId="4550A78E" w:rsidR="00127DF9" w:rsidRDefault="00127DF9" w:rsidP="00592644">
            <w:r>
              <w:t>Network Rail</w:t>
            </w:r>
            <w:r w:rsidR="00BF5611">
              <w:t xml:space="preserve"> (MB) Tatton Estates (RB)</w:t>
            </w:r>
          </w:p>
        </w:tc>
        <w:tc>
          <w:tcPr>
            <w:tcW w:w="2041" w:type="dxa"/>
          </w:tcPr>
          <w:p w14:paraId="2F0914BF" w14:textId="33542B8C" w:rsidR="00127DF9" w:rsidRDefault="00BF5611" w:rsidP="00F4271A">
            <w:r>
              <w:t xml:space="preserve">Ongoing – partners met and planning for more thorough control during INNS </w:t>
            </w:r>
            <w:r>
              <w:lastRenderedPageBreak/>
              <w:t>season 2022 in line with works on railway assets</w:t>
            </w:r>
          </w:p>
        </w:tc>
        <w:tc>
          <w:tcPr>
            <w:tcW w:w="1077" w:type="dxa"/>
            <w:vAlign w:val="center"/>
          </w:tcPr>
          <w:p w14:paraId="3B09C2C3" w14:textId="4C27D451" w:rsidR="00127DF9" w:rsidRPr="000E4D20" w:rsidRDefault="00127DF9" w:rsidP="00592644">
            <w:pPr>
              <w:jc w:val="center"/>
              <w:rPr>
                <w:sz w:val="24"/>
                <w:szCs w:val="24"/>
              </w:rPr>
            </w:pPr>
          </w:p>
        </w:tc>
        <w:tc>
          <w:tcPr>
            <w:tcW w:w="1077" w:type="dxa"/>
            <w:vAlign w:val="center"/>
          </w:tcPr>
          <w:p w14:paraId="4860B7ED" w14:textId="77777777" w:rsidR="00127DF9" w:rsidRPr="000E4D20" w:rsidRDefault="00127DF9" w:rsidP="00592644">
            <w:pPr>
              <w:jc w:val="center"/>
              <w:rPr>
                <w:sz w:val="24"/>
                <w:szCs w:val="24"/>
              </w:rPr>
            </w:pPr>
          </w:p>
        </w:tc>
        <w:tc>
          <w:tcPr>
            <w:tcW w:w="1077" w:type="dxa"/>
            <w:vAlign w:val="center"/>
          </w:tcPr>
          <w:p w14:paraId="13CEA154" w14:textId="2C68B4DF" w:rsidR="00127DF9" w:rsidRPr="000E4D20" w:rsidRDefault="00127DF9" w:rsidP="00592644">
            <w:pPr>
              <w:jc w:val="center"/>
              <w:rPr>
                <w:sz w:val="24"/>
                <w:szCs w:val="24"/>
              </w:rPr>
            </w:pPr>
            <w:r w:rsidRPr="000E4D20">
              <w:rPr>
                <w:sz w:val="24"/>
                <w:szCs w:val="24"/>
              </w:rPr>
              <w:sym w:font="Wingdings" w:char="F0FC"/>
            </w:r>
          </w:p>
        </w:tc>
        <w:tc>
          <w:tcPr>
            <w:tcW w:w="1134" w:type="dxa"/>
            <w:vAlign w:val="center"/>
          </w:tcPr>
          <w:p w14:paraId="790FC544" w14:textId="77777777" w:rsidR="00127DF9" w:rsidRPr="000E4D20" w:rsidRDefault="00127DF9" w:rsidP="00592644">
            <w:pPr>
              <w:jc w:val="center"/>
              <w:rPr>
                <w:sz w:val="24"/>
                <w:szCs w:val="24"/>
              </w:rPr>
            </w:pPr>
          </w:p>
        </w:tc>
        <w:tc>
          <w:tcPr>
            <w:tcW w:w="1191" w:type="dxa"/>
            <w:vAlign w:val="center"/>
          </w:tcPr>
          <w:p w14:paraId="5E0AC182" w14:textId="77777777" w:rsidR="00127DF9" w:rsidRPr="000E4D20" w:rsidRDefault="00127DF9" w:rsidP="00592644">
            <w:pPr>
              <w:jc w:val="center"/>
              <w:rPr>
                <w:sz w:val="24"/>
                <w:szCs w:val="24"/>
              </w:rPr>
            </w:pPr>
          </w:p>
        </w:tc>
      </w:tr>
      <w:tr w:rsidR="00E0636E" w14:paraId="504AFFA1" w14:textId="77777777" w:rsidTr="00E92E9D">
        <w:tc>
          <w:tcPr>
            <w:tcW w:w="2241" w:type="dxa"/>
          </w:tcPr>
          <w:p w14:paraId="5FEA37EF" w14:textId="2969547D" w:rsidR="00E0636E" w:rsidRDefault="00E0636E" w:rsidP="00E0636E">
            <w:r>
              <w:lastRenderedPageBreak/>
              <w:t>Dean headwaters – 2 natural flood management schemes</w:t>
            </w:r>
          </w:p>
        </w:tc>
        <w:tc>
          <w:tcPr>
            <w:tcW w:w="1560" w:type="dxa"/>
          </w:tcPr>
          <w:p w14:paraId="63ADCAD2" w14:textId="77777777" w:rsidR="00E0636E" w:rsidRDefault="00E0636E" w:rsidP="00E0636E">
            <w:r>
              <w:t>Harrop Brook</w:t>
            </w:r>
          </w:p>
          <w:p w14:paraId="3770B699" w14:textId="1D6F4604" w:rsidR="00E0636E" w:rsidRDefault="00E0636E" w:rsidP="00E0636E">
            <w:r>
              <w:t>Dean (source to Bollington)</w:t>
            </w:r>
          </w:p>
        </w:tc>
        <w:tc>
          <w:tcPr>
            <w:tcW w:w="1984" w:type="dxa"/>
          </w:tcPr>
          <w:p w14:paraId="7A19EAAA" w14:textId="7396B1D1" w:rsidR="00E0636E" w:rsidRDefault="00495DD6" w:rsidP="00E0636E">
            <w:r>
              <w:t>Secured £58,300 for Harrop Brook</w:t>
            </w:r>
            <w:r w:rsidR="007A7456">
              <w:t>; unknown for Dean</w:t>
            </w:r>
          </w:p>
        </w:tc>
        <w:tc>
          <w:tcPr>
            <w:tcW w:w="1508" w:type="dxa"/>
          </w:tcPr>
          <w:p w14:paraId="4F4C68DA" w14:textId="1833789B" w:rsidR="00E0636E" w:rsidRDefault="00E0636E" w:rsidP="00E0636E">
            <w:r>
              <w:t>MRT + Cheshire WT</w:t>
            </w:r>
          </w:p>
        </w:tc>
        <w:tc>
          <w:tcPr>
            <w:tcW w:w="2041" w:type="dxa"/>
          </w:tcPr>
          <w:p w14:paraId="415F5F04" w14:textId="7662B1D5" w:rsidR="00E0636E" w:rsidRDefault="00E0636E" w:rsidP="00280E8B">
            <w:r>
              <w:t>Completed</w:t>
            </w:r>
            <w:r w:rsidR="00614EEB">
              <w:t xml:space="preserve"> M</w:t>
            </w:r>
            <w:r w:rsidR="00D93C7B">
              <w:t>arch 2021, though Harrop tree planting due</w:t>
            </w:r>
            <w:r w:rsidR="00280E8B">
              <w:t xml:space="preserve"> January </w:t>
            </w:r>
            <w:r w:rsidR="00682D93">
              <w:t>22</w:t>
            </w:r>
          </w:p>
        </w:tc>
        <w:tc>
          <w:tcPr>
            <w:tcW w:w="1077" w:type="dxa"/>
            <w:vAlign w:val="center"/>
          </w:tcPr>
          <w:p w14:paraId="02CD04E8" w14:textId="77777777" w:rsidR="00E0636E" w:rsidRPr="000E4D20" w:rsidRDefault="00E0636E" w:rsidP="00E0636E">
            <w:pPr>
              <w:jc w:val="center"/>
              <w:rPr>
                <w:sz w:val="24"/>
                <w:szCs w:val="24"/>
              </w:rPr>
            </w:pPr>
          </w:p>
        </w:tc>
        <w:tc>
          <w:tcPr>
            <w:tcW w:w="1077" w:type="dxa"/>
            <w:vAlign w:val="center"/>
          </w:tcPr>
          <w:p w14:paraId="0E41F3B4" w14:textId="648EFA10" w:rsidR="00E0636E" w:rsidRPr="000E4D20" w:rsidRDefault="00E0636E" w:rsidP="00E0636E">
            <w:pPr>
              <w:jc w:val="center"/>
              <w:rPr>
                <w:sz w:val="24"/>
                <w:szCs w:val="24"/>
              </w:rPr>
            </w:pPr>
            <w:r w:rsidRPr="000E4D20">
              <w:rPr>
                <w:sz w:val="24"/>
                <w:szCs w:val="24"/>
              </w:rPr>
              <w:sym w:font="Wingdings" w:char="F0FC"/>
            </w:r>
          </w:p>
        </w:tc>
        <w:tc>
          <w:tcPr>
            <w:tcW w:w="1077" w:type="dxa"/>
            <w:vAlign w:val="center"/>
          </w:tcPr>
          <w:p w14:paraId="132EF572" w14:textId="77777777" w:rsidR="00E0636E" w:rsidRPr="000E4D20" w:rsidRDefault="00E0636E" w:rsidP="00E0636E">
            <w:pPr>
              <w:jc w:val="center"/>
              <w:rPr>
                <w:sz w:val="24"/>
                <w:szCs w:val="24"/>
              </w:rPr>
            </w:pPr>
          </w:p>
        </w:tc>
        <w:tc>
          <w:tcPr>
            <w:tcW w:w="1134" w:type="dxa"/>
            <w:vAlign w:val="center"/>
          </w:tcPr>
          <w:p w14:paraId="0B8AD19C" w14:textId="77777777" w:rsidR="00E0636E" w:rsidRPr="000E4D20" w:rsidRDefault="00E0636E" w:rsidP="00E0636E">
            <w:pPr>
              <w:jc w:val="center"/>
              <w:rPr>
                <w:sz w:val="24"/>
                <w:szCs w:val="24"/>
              </w:rPr>
            </w:pPr>
          </w:p>
        </w:tc>
        <w:tc>
          <w:tcPr>
            <w:tcW w:w="1191" w:type="dxa"/>
            <w:vAlign w:val="center"/>
          </w:tcPr>
          <w:p w14:paraId="6798142D" w14:textId="77777777" w:rsidR="00E0636E" w:rsidRPr="000E4D20" w:rsidRDefault="00E0636E" w:rsidP="00E0636E">
            <w:pPr>
              <w:jc w:val="center"/>
              <w:rPr>
                <w:sz w:val="24"/>
                <w:szCs w:val="24"/>
              </w:rPr>
            </w:pPr>
          </w:p>
        </w:tc>
      </w:tr>
      <w:tr w:rsidR="000F1D98" w14:paraId="11B63628" w14:textId="77777777" w:rsidTr="000F1D98">
        <w:tc>
          <w:tcPr>
            <w:tcW w:w="2241" w:type="dxa"/>
          </w:tcPr>
          <w:p w14:paraId="1A8C161E" w14:textId="77777777" w:rsidR="000F1D98" w:rsidRDefault="000F1D98" w:rsidP="007D764B">
            <w:r>
              <w:t>Development of project with Dunham/Riverlands Legacy</w:t>
            </w:r>
          </w:p>
        </w:tc>
        <w:tc>
          <w:tcPr>
            <w:tcW w:w="1560" w:type="dxa"/>
          </w:tcPr>
          <w:p w14:paraId="0B394056" w14:textId="77777777" w:rsidR="000F1D98" w:rsidRDefault="000F1D98" w:rsidP="007D764B">
            <w:r>
              <w:t>Bollin</w:t>
            </w:r>
          </w:p>
          <w:p w14:paraId="2E65E900" w14:textId="77777777" w:rsidR="000F1D98" w:rsidRDefault="000F1D98" w:rsidP="007D764B">
            <w:r>
              <w:t>Agden Brook</w:t>
            </w:r>
          </w:p>
          <w:p w14:paraId="16A882F7" w14:textId="77777777" w:rsidR="000F1D98" w:rsidRDefault="000F1D98" w:rsidP="007D764B">
            <w:r>
              <w:t>Sinderland Brook etc</w:t>
            </w:r>
          </w:p>
        </w:tc>
        <w:tc>
          <w:tcPr>
            <w:tcW w:w="1984" w:type="dxa"/>
          </w:tcPr>
          <w:p w14:paraId="59B4E8AA" w14:textId="77777777" w:rsidR="000F1D98" w:rsidRDefault="000F1D98" w:rsidP="007D764B">
            <w:r>
              <w:t>Unfunded</w:t>
            </w:r>
          </w:p>
          <w:p w14:paraId="0C4E9EAC" w14:textId="77777777" w:rsidR="000F1D98" w:rsidRDefault="000F1D98" w:rsidP="007D764B">
            <w:r>
              <w:t>Riverlands?</w:t>
            </w:r>
          </w:p>
        </w:tc>
        <w:tc>
          <w:tcPr>
            <w:tcW w:w="1508" w:type="dxa"/>
          </w:tcPr>
          <w:p w14:paraId="3F29E8F4" w14:textId="77777777" w:rsidR="000F1D98" w:rsidRDefault="000F1D98" w:rsidP="007D764B">
            <w:r>
              <w:t>MRT (SP)</w:t>
            </w:r>
          </w:p>
          <w:p w14:paraId="45DAA285" w14:textId="77777777" w:rsidR="000F1D98" w:rsidRDefault="000F1D98" w:rsidP="007D764B">
            <w:r>
              <w:t>NT (Dunham Massey and QB)</w:t>
            </w:r>
          </w:p>
        </w:tc>
        <w:tc>
          <w:tcPr>
            <w:tcW w:w="2041" w:type="dxa"/>
          </w:tcPr>
          <w:p w14:paraId="6F99A5E6" w14:textId="77777777" w:rsidR="000F1D98" w:rsidRDefault="000F1D98" w:rsidP="007D764B">
            <w:r>
              <w:t>In development</w:t>
            </w:r>
          </w:p>
        </w:tc>
        <w:tc>
          <w:tcPr>
            <w:tcW w:w="1077" w:type="dxa"/>
          </w:tcPr>
          <w:p w14:paraId="747E63BC" w14:textId="77777777" w:rsidR="000F1D98" w:rsidRPr="00262661" w:rsidRDefault="000F1D98" w:rsidP="007D764B">
            <w:pPr>
              <w:jc w:val="center"/>
              <w:rPr>
                <w:sz w:val="24"/>
                <w:szCs w:val="24"/>
              </w:rPr>
            </w:pPr>
          </w:p>
        </w:tc>
        <w:tc>
          <w:tcPr>
            <w:tcW w:w="1077" w:type="dxa"/>
          </w:tcPr>
          <w:p w14:paraId="2FC514D1" w14:textId="77777777" w:rsidR="000F1D98" w:rsidRPr="00262661" w:rsidRDefault="000F1D98" w:rsidP="007D764B">
            <w:pPr>
              <w:jc w:val="center"/>
              <w:rPr>
                <w:sz w:val="24"/>
                <w:szCs w:val="24"/>
              </w:rPr>
            </w:pPr>
          </w:p>
        </w:tc>
        <w:tc>
          <w:tcPr>
            <w:tcW w:w="1077" w:type="dxa"/>
          </w:tcPr>
          <w:p w14:paraId="36BC5098" w14:textId="77777777" w:rsidR="000F1D98" w:rsidRPr="00262661" w:rsidRDefault="000F1D98" w:rsidP="007D764B">
            <w:pPr>
              <w:jc w:val="center"/>
              <w:rPr>
                <w:sz w:val="24"/>
                <w:szCs w:val="24"/>
              </w:rPr>
            </w:pPr>
          </w:p>
        </w:tc>
        <w:tc>
          <w:tcPr>
            <w:tcW w:w="1134" w:type="dxa"/>
          </w:tcPr>
          <w:p w14:paraId="716CB9AC" w14:textId="77777777" w:rsidR="000F1D98" w:rsidRPr="00262661" w:rsidRDefault="000F1D98" w:rsidP="007D764B">
            <w:pPr>
              <w:jc w:val="center"/>
              <w:rPr>
                <w:sz w:val="24"/>
                <w:szCs w:val="24"/>
              </w:rPr>
            </w:pPr>
          </w:p>
        </w:tc>
        <w:tc>
          <w:tcPr>
            <w:tcW w:w="1191" w:type="dxa"/>
          </w:tcPr>
          <w:p w14:paraId="731BEF3F" w14:textId="77777777" w:rsidR="000F1D98" w:rsidRPr="00262661" w:rsidRDefault="000F1D98" w:rsidP="007D764B">
            <w:pPr>
              <w:jc w:val="center"/>
              <w:rPr>
                <w:sz w:val="24"/>
                <w:szCs w:val="24"/>
              </w:rPr>
            </w:pPr>
          </w:p>
        </w:tc>
      </w:tr>
      <w:tr w:rsidR="000F1D98" w14:paraId="3CE83976" w14:textId="77777777" w:rsidTr="000F1D98">
        <w:tc>
          <w:tcPr>
            <w:tcW w:w="2241" w:type="dxa"/>
          </w:tcPr>
          <w:p w14:paraId="16485029" w14:textId="77777777" w:rsidR="000F1D98" w:rsidRDefault="000F1D98" w:rsidP="007D764B">
            <w:r>
              <w:t>Wetland Work -delivery of wetland work at Dun</w:t>
            </w:r>
            <w:bookmarkStart w:id="1" w:name="_GoBack"/>
            <w:bookmarkEnd w:id="1"/>
            <w:r>
              <w:t>ham</w:t>
            </w:r>
          </w:p>
        </w:tc>
        <w:tc>
          <w:tcPr>
            <w:tcW w:w="1560" w:type="dxa"/>
          </w:tcPr>
          <w:p w14:paraId="6F37EE23" w14:textId="77777777" w:rsidR="000F1D98" w:rsidRDefault="000F1D98" w:rsidP="007D764B">
            <w:r>
              <w:t>Caldwell Brook</w:t>
            </w:r>
          </w:p>
          <w:p w14:paraId="4FB7AC3A" w14:textId="77777777" w:rsidR="000F1D98" w:rsidRDefault="000F1D98" w:rsidP="007D764B">
            <w:r>
              <w:t>Bollin</w:t>
            </w:r>
          </w:p>
        </w:tc>
        <w:tc>
          <w:tcPr>
            <w:tcW w:w="1984" w:type="dxa"/>
          </w:tcPr>
          <w:p w14:paraId="5456FC1E" w14:textId="77777777" w:rsidR="000F1D98" w:rsidRDefault="000F1D98" w:rsidP="007D764B">
            <w:r>
              <w:t xml:space="preserve">Secured - Dunham Massey Green Recovery Challenge Fund </w:t>
            </w:r>
          </w:p>
        </w:tc>
        <w:tc>
          <w:tcPr>
            <w:tcW w:w="1508" w:type="dxa"/>
          </w:tcPr>
          <w:p w14:paraId="2812FCF1" w14:textId="77777777" w:rsidR="000F1D98" w:rsidRDefault="000F1D98" w:rsidP="007D764B">
            <w:r>
              <w:t>MRT (SP/JF/</w:t>
            </w:r>
          </w:p>
          <w:p w14:paraId="7B7E6E8E" w14:textId="77777777" w:rsidR="000F1D98" w:rsidRDefault="000F1D98" w:rsidP="007D764B">
            <w:r>
              <w:t>other MRT expertise),</w:t>
            </w:r>
          </w:p>
          <w:p w14:paraId="3C6448F4" w14:textId="77777777" w:rsidR="000F1D98" w:rsidRDefault="000F1D98" w:rsidP="007D764B">
            <w:r w:rsidRPr="007D6DB7">
              <w:t>NT (Dunham Massey)</w:t>
            </w:r>
          </w:p>
        </w:tc>
        <w:tc>
          <w:tcPr>
            <w:tcW w:w="2041" w:type="dxa"/>
          </w:tcPr>
          <w:p w14:paraId="6E4F8CC8" w14:textId="77777777" w:rsidR="000F1D98" w:rsidRDefault="000F1D98" w:rsidP="007D764B">
            <w:r>
              <w:t>In progress – MRT will be carrying out this work and aim to complete Oct/Nov 2021</w:t>
            </w:r>
          </w:p>
        </w:tc>
        <w:tc>
          <w:tcPr>
            <w:tcW w:w="1077" w:type="dxa"/>
          </w:tcPr>
          <w:p w14:paraId="7CD8D42E" w14:textId="77777777" w:rsidR="000F1D98" w:rsidRPr="00262661" w:rsidRDefault="000F1D98" w:rsidP="007D764B">
            <w:pPr>
              <w:jc w:val="center"/>
              <w:rPr>
                <w:sz w:val="24"/>
                <w:szCs w:val="24"/>
              </w:rPr>
            </w:pPr>
            <w:r w:rsidRPr="000E4D20">
              <w:rPr>
                <w:sz w:val="24"/>
                <w:szCs w:val="24"/>
              </w:rPr>
              <w:sym w:font="Wingdings" w:char="F0FC"/>
            </w:r>
          </w:p>
        </w:tc>
        <w:tc>
          <w:tcPr>
            <w:tcW w:w="1077" w:type="dxa"/>
          </w:tcPr>
          <w:p w14:paraId="2550EEE9" w14:textId="77777777" w:rsidR="000F1D98" w:rsidRPr="00262661" w:rsidRDefault="000F1D98" w:rsidP="007D764B">
            <w:pPr>
              <w:jc w:val="center"/>
              <w:rPr>
                <w:sz w:val="24"/>
                <w:szCs w:val="24"/>
              </w:rPr>
            </w:pPr>
          </w:p>
        </w:tc>
        <w:tc>
          <w:tcPr>
            <w:tcW w:w="1077" w:type="dxa"/>
          </w:tcPr>
          <w:p w14:paraId="2CEA2069" w14:textId="77777777" w:rsidR="000F1D98" w:rsidRPr="00262661" w:rsidRDefault="000F1D98" w:rsidP="007D764B">
            <w:pPr>
              <w:jc w:val="center"/>
              <w:rPr>
                <w:sz w:val="24"/>
                <w:szCs w:val="24"/>
              </w:rPr>
            </w:pPr>
            <w:r w:rsidRPr="000E4D20">
              <w:rPr>
                <w:sz w:val="24"/>
                <w:szCs w:val="24"/>
              </w:rPr>
              <w:sym w:font="Wingdings" w:char="F0FC"/>
            </w:r>
          </w:p>
        </w:tc>
        <w:tc>
          <w:tcPr>
            <w:tcW w:w="1134" w:type="dxa"/>
          </w:tcPr>
          <w:p w14:paraId="2CEA25BA" w14:textId="77777777" w:rsidR="000F1D98" w:rsidRPr="00262661" w:rsidRDefault="000F1D98" w:rsidP="007D764B">
            <w:pPr>
              <w:jc w:val="center"/>
              <w:rPr>
                <w:sz w:val="24"/>
                <w:szCs w:val="24"/>
              </w:rPr>
            </w:pPr>
          </w:p>
        </w:tc>
        <w:tc>
          <w:tcPr>
            <w:tcW w:w="1191" w:type="dxa"/>
          </w:tcPr>
          <w:p w14:paraId="2DB61249" w14:textId="77777777" w:rsidR="000F1D98" w:rsidRPr="00262661" w:rsidRDefault="000F1D98" w:rsidP="007D764B">
            <w:pPr>
              <w:jc w:val="center"/>
              <w:rPr>
                <w:sz w:val="24"/>
                <w:szCs w:val="24"/>
              </w:rPr>
            </w:pPr>
            <w:r w:rsidRPr="000E4D20">
              <w:rPr>
                <w:sz w:val="24"/>
                <w:szCs w:val="24"/>
              </w:rPr>
              <w:sym w:font="Wingdings" w:char="F0FC"/>
            </w:r>
          </w:p>
        </w:tc>
      </w:tr>
      <w:tr w:rsidR="000F1D98" w14:paraId="37F6BC7C" w14:textId="77777777" w:rsidTr="000F1D98">
        <w:tc>
          <w:tcPr>
            <w:tcW w:w="2241" w:type="dxa"/>
          </w:tcPr>
          <w:p w14:paraId="33F12D86" w14:textId="77777777" w:rsidR="000F1D98" w:rsidRDefault="000F1D98" w:rsidP="007D764B">
            <w:r>
              <w:t>Strategic riparian land management - creating connections and strategic planning of riparian land and water management where UU and National Trust interests border/overlap</w:t>
            </w:r>
          </w:p>
        </w:tc>
        <w:tc>
          <w:tcPr>
            <w:tcW w:w="1560" w:type="dxa"/>
          </w:tcPr>
          <w:p w14:paraId="466C365C" w14:textId="77777777" w:rsidR="000F1D98" w:rsidRDefault="000F1D98" w:rsidP="007D764B">
            <w:r>
              <w:t>Bollin</w:t>
            </w:r>
          </w:p>
          <w:p w14:paraId="406E489B" w14:textId="77777777" w:rsidR="000F1D98" w:rsidRDefault="000F1D98" w:rsidP="007D764B">
            <w:r>
              <w:t>Birkin Brook</w:t>
            </w:r>
          </w:p>
          <w:p w14:paraId="61E42C56" w14:textId="77777777" w:rsidR="000F1D98" w:rsidRDefault="000F1D98" w:rsidP="007D764B">
            <w:r>
              <w:t>River Dean</w:t>
            </w:r>
          </w:p>
        </w:tc>
        <w:tc>
          <w:tcPr>
            <w:tcW w:w="1984" w:type="dxa"/>
          </w:tcPr>
          <w:p w14:paraId="0985CAC5" w14:textId="77777777" w:rsidR="000F1D98" w:rsidRDefault="000F1D98" w:rsidP="007D764B">
            <w:r>
              <w:t>NT and UU operational budgets</w:t>
            </w:r>
          </w:p>
        </w:tc>
        <w:tc>
          <w:tcPr>
            <w:tcW w:w="1508" w:type="dxa"/>
          </w:tcPr>
          <w:p w14:paraId="6CC08DC7" w14:textId="77777777" w:rsidR="000F1D98" w:rsidRDefault="000F1D98" w:rsidP="007D764B">
            <w:r>
              <w:t>MRT (SP), UU,</w:t>
            </w:r>
          </w:p>
          <w:p w14:paraId="320BFD8F" w14:textId="77777777" w:rsidR="000F1D98" w:rsidRDefault="000F1D98" w:rsidP="007D764B">
            <w:r w:rsidRPr="008E7DB7">
              <w:t>NT (Dunham Massey</w:t>
            </w:r>
            <w:r>
              <w:t xml:space="preserve"> + Quarry Bank Styal</w:t>
            </w:r>
            <w:r w:rsidRPr="008E7DB7">
              <w:t>)</w:t>
            </w:r>
          </w:p>
        </w:tc>
        <w:tc>
          <w:tcPr>
            <w:tcW w:w="2041" w:type="dxa"/>
          </w:tcPr>
          <w:p w14:paraId="110B30F1" w14:textId="77777777" w:rsidR="000F1D98" w:rsidRDefault="000F1D98" w:rsidP="007D764B">
            <w:r>
              <w:t>In development –some work gone ahead summer 2021, and will continue for spring/summer 2022</w:t>
            </w:r>
          </w:p>
        </w:tc>
        <w:tc>
          <w:tcPr>
            <w:tcW w:w="1077" w:type="dxa"/>
          </w:tcPr>
          <w:p w14:paraId="756146CB" w14:textId="77777777" w:rsidR="000F1D98" w:rsidRPr="00262661" w:rsidRDefault="000F1D98" w:rsidP="007D764B">
            <w:pPr>
              <w:jc w:val="center"/>
              <w:rPr>
                <w:sz w:val="24"/>
                <w:szCs w:val="24"/>
              </w:rPr>
            </w:pPr>
            <w:r w:rsidRPr="000E4D20">
              <w:rPr>
                <w:sz w:val="24"/>
                <w:szCs w:val="24"/>
              </w:rPr>
              <w:sym w:font="Wingdings" w:char="F0FC"/>
            </w:r>
          </w:p>
        </w:tc>
        <w:tc>
          <w:tcPr>
            <w:tcW w:w="1077" w:type="dxa"/>
          </w:tcPr>
          <w:p w14:paraId="2FE5D142" w14:textId="77777777" w:rsidR="000F1D98" w:rsidRPr="00262661" w:rsidRDefault="000F1D98" w:rsidP="007D764B">
            <w:pPr>
              <w:jc w:val="center"/>
              <w:rPr>
                <w:sz w:val="24"/>
                <w:szCs w:val="24"/>
              </w:rPr>
            </w:pPr>
            <w:r w:rsidRPr="000E4D20">
              <w:rPr>
                <w:sz w:val="24"/>
                <w:szCs w:val="24"/>
              </w:rPr>
              <w:sym w:font="Wingdings" w:char="F0FC"/>
            </w:r>
          </w:p>
        </w:tc>
        <w:tc>
          <w:tcPr>
            <w:tcW w:w="1077" w:type="dxa"/>
          </w:tcPr>
          <w:p w14:paraId="1E99A007" w14:textId="77777777" w:rsidR="000F1D98" w:rsidRPr="00262661" w:rsidRDefault="000F1D98" w:rsidP="007D764B">
            <w:pPr>
              <w:jc w:val="center"/>
              <w:rPr>
                <w:sz w:val="24"/>
                <w:szCs w:val="24"/>
              </w:rPr>
            </w:pPr>
          </w:p>
        </w:tc>
        <w:tc>
          <w:tcPr>
            <w:tcW w:w="1134" w:type="dxa"/>
          </w:tcPr>
          <w:p w14:paraId="069CF839" w14:textId="77777777" w:rsidR="000F1D98" w:rsidRPr="00262661" w:rsidRDefault="000F1D98" w:rsidP="007D764B">
            <w:pPr>
              <w:jc w:val="center"/>
              <w:rPr>
                <w:sz w:val="24"/>
                <w:szCs w:val="24"/>
              </w:rPr>
            </w:pPr>
          </w:p>
        </w:tc>
        <w:tc>
          <w:tcPr>
            <w:tcW w:w="1191" w:type="dxa"/>
          </w:tcPr>
          <w:p w14:paraId="4EEB67B7" w14:textId="77777777" w:rsidR="000F1D98" w:rsidRPr="00262661" w:rsidRDefault="000F1D98" w:rsidP="007D764B">
            <w:pPr>
              <w:jc w:val="center"/>
              <w:rPr>
                <w:sz w:val="24"/>
                <w:szCs w:val="24"/>
              </w:rPr>
            </w:pPr>
          </w:p>
        </w:tc>
      </w:tr>
    </w:tbl>
    <w:p w14:paraId="37BB14C5" w14:textId="164A0A45" w:rsidR="001208F8" w:rsidRDefault="001208F8"/>
    <w:p w14:paraId="3178B60F" w14:textId="77777777" w:rsidR="00F215D4" w:rsidRDefault="00F215D4"/>
    <w:p w14:paraId="6D9127CE" w14:textId="74B0FE1F" w:rsidR="009C65B7" w:rsidRDefault="009C65B7"/>
    <w:p w14:paraId="7F880718" w14:textId="77777777" w:rsidR="00280E8B" w:rsidRDefault="00280E8B">
      <w:r>
        <w:br w:type="page"/>
      </w:r>
    </w:p>
    <w:tbl>
      <w:tblPr>
        <w:tblStyle w:val="TableGrid"/>
        <w:tblW w:w="14890" w:type="dxa"/>
        <w:tblLayout w:type="fixed"/>
        <w:tblLook w:val="04A0" w:firstRow="1" w:lastRow="0" w:firstColumn="1" w:lastColumn="0" w:noHBand="0" w:noVBand="1"/>
      </w:tblPr>
      <w:tblGrid>
        <w:gridCol w:w="2241"/>
        <w:gridCol w:w="1560"/>
        <w:gridCol w:w="1984"/>
        <w:gridCol w:w="1508"/>
        <w:gridCol w:w="2041"/>
        <w:gridCol w:w="1077"/>
        <w:gridCol w:w="1077"/>
        <w:gridCol w:w="1077"/>
        <w:gridCol w:w="1134"/>
        <w:gridCol w:w="1191"/>
      </w:tblGrid>
      <w:tr w:rsidR="00280E8B" w:rsidRPr="005A7F07" w14:paraId="229FD291" w14:textId="77777777" w:rsidTr="009C3C7F">
        <w:tc>
          <w:tcPr>
            <w:tcW w:w="2241" w:type="dxa"/>
            <w:tcBorders>
              <w:top w:val="nil"/>
              <w:bottom w:val="single" w:sz="4" w:space="0" w:color="auto"/>
            </w:tcBorders>
          </w:tcPr>
          <w:p w14:paraId="137BE744" w14:textId="77777777" w:rsidR="00280E8B" w:rsidRPr="00262661" w:rsidRDefault="00280E8B" w:rsidP="009C3C7F">
            <w:pPr>
              <w:rPr>
                <w:b/>
              </w:rPr>
            </w:pPr>
            <w:r w:rsidRPr="00262661">
              <w:rPr>
                <w:b/>
              </w:rPr>
              <w:lastRenderedPageBreak/>
              <w:t>Project Details</w:t>
            </w:r>
          </w:p>
        </w:tc>
        <w:tc>
          <w:tcPr>
            <w:tcW w:w="1560" w:type="dxa"/>
            <w:tcBorders>
              <w:top w:val="nil"/>
              <w:bottom w:val="single" w:sz="4" w:space="0" w:color="auto"/>
            </w:tcBorders>
          </w:tcPr>
          <w:p w14:paraId="1363E68F" w14:textId="77777777" w:rsidR="00280E8B" w:rsidRPr="005A7F07" w:rsidRDefault="00280E8B" w:rsidP="009C3C7F">
            <w:pPr>
              <w:rPr>
                <w:b/>
              </w:rPr>
            </w:pPr>
            <w:r w:rsidRPr="005A7F07">
              <w:rPr>
                <w:b/>
              </w:rPr>
              <w:t>Waterbod</w:t>
            </w:r>
            <w:r>
              <w:rPr>
                <w:b/>
              </w:rPr>
              <w:t>ies</w:t>
            </w:r>
          </w:p>
        </w:tc>
        <w:tc>
          <w:tcPr>
            <w:tcW w:w="1984" w:type="dxa"/>
            <w:tcBorders>
              <w:top w:val="nil"/>
              <w:bottom w:val="single" w:sz="4" w:space="0" w:color="auto"/>
            </w:tcBorders>
          </w:tcPr>
          <w:p w14:paraId="7A90C108" w14:textId="77777777" w:rsidR="00280E8B" w:rsidRPr="005A7F07" w:rsidRDefault="00280E8B" w:rsidP="009C3C7F">
            <w:pPr>
              <w:rPr>
                <w:b/>
              </w:rPr>
            </w:pPr>
            <w:r w:rsidRPr="005A7F07">
              <w:rPr>
                <w:b/>
              </w:rPr>
              <w:t>Funded?</w:t>
            </w:r>
          </w:p>
        </w:tc>
        <w:tc>
          <w:tcPr>
            <w:tcW w:w="1508" w:type="dxa"/>
            <w:tcBorders>
              <w:top w:val="nil"/>
              <w:bottom w:val="single" w:sz="4" w:space="0" w:color="auto"/>
            </w:tcBorders>
          </w:tcPr>
          <w:p w14:paraId="1E4A3BE1" w14:textId="77777777" w:rsidR="00280E8B" w:rsidRPr="005A7F07" w:rsidRDefault="00280E8B" w:rsidP="009C3C7F">
            <w:pPr>
              <w:rPr>
                <w:b/>
              </w:rPr>
            </w:pPr>
            <w:r>
              <w:rPr>
                <w:b/>
              </w:rPr>
              <w:t>Organisation</w:t>
            </w:r>
          </w:p>
        </w:tc>
        <w:tc>
          <w:tcPr>
            <w:tcW w:w="2041" w:type="dxa"/>
            <w:tcBorders>
              <w:top w:val="nil"/>
              <w:bottom w:val="single" w:sz="4" w:space="0" w:color="auto"/>
            </w:tcBorders>
          </w:tcPr>
          <w:p w14:paraId="20E7F6D7" w14:textId="77777777" w:rsidR="00280E8B" w:rsidRPr="00315244" w:rsidRDefault="00280E8B" w:rsidP="009C3C7F">
            <w:pPr>
              <w:rPr>
                <w:b/>
                <w:sz w:val="20"/>
                <w:szCs w:val="20"/>
              </w:rPr>
            </w:pPr>
            <w:r>
              <w:rPr>
                <w:b/>
                <w:sz w:val="20"/>
                <w:szCs w:val="20"/>
              </w:rPr>
              <w:t>Status/Comment</w:t>
            </w:r>
          </w:p>
        </w:tc>
        <w:tc>
          <w:tcPr>
            <w:tcW w:w="1077" w:type="dxa"/>
            <w:tcBorders>
              <w:bottom w:val="single" w:sz="4" w:space="0" w:color="auto"/>
            </w:tcBorders>
          </w:tcPr>
          <w:p w14:paraId="7DF5503F" w14:textId="77777777" w:rsidR="00280E8B" w:rsidRPr="00315244" w:rsidRDefault="00280E8B" w:rsidP="009C3C7F">
            <w:pPr>
              <w:rPr>
                <w:b/>
                <w:sz w:val="20"/>
                <w:szCs w:val="20"/>
              </w:rPr>
            </w:pPr>
            <w:r w:rsidRPr="00315244">
              <w:rPr>
                <w:b/>
                <w:sz w:val="20"/>
                <w:szCs w:val="20"/>
              </w:rPr>
              <w:t>Water Quality</w:t>
            </w:r>
          </w:p>
        </w:tc>
        <w:tc>
          <w:tcPr>
            <w:tcW w:w="1077" w:type="dxa"/>
            <w:tcBorders>
              <w:bottom w:val="single" w:sz="4" w:space="0" w:color="auto"/>
            </w:tcBorders>
          </w:tcPr>
          <w:p w14:paraId="47147F4A" w14:textId="77777777" w:rsidR="00280E8B" w:rsidRPr="00315244" w:rsidRDefault="00280E8B" w:rsidP="009C3C7F">
            <w:pPr>
              <w:rPr>
                <w:b/>
                <w:sz w:val="20"/>
                <w:szCs w:val="20"/>
              </w:rPr>
            </w:pPr>
            <w:r w:rsidRPr="00315244">
              <w:rPr>
                <w:b/>
                <w:sz w:val="20"/>
                <w:szCs w:val="20"/>
              </w:rPr>
              <w:t>Flood Risk</w:t>
            </w:r>
          </w:p>
        </w:tc>
        <w:tc>
          <w:tcPr>
            <w:tcW w:w="1077" w:type="dxa"/>
            <w:tcBorders>
              <w:bottom w:val="single" w:sz="4" w:space="0" w:color="auto"/>
            </w:tcBorders>
          </w:tcPr>
          <w:p w14:paraId="78642434" w14:textId="77777777" w:rsidR="00280E8B" w:rsidRPr="00315244" w:rsidRDefault="00280E8B" w:rsidP="009C3C7F">
            <w:pPr>
              <w:rPr>
                <w:b/>
                <w:sz w:val="20"/>
                <w:szCs w:val="20"/>
              </w:rPr>
            </w:pPr>
            <w:r w:rsidRPr="00315244">
              <w:rPr>
                <w:b/>
                <w:sz w:val="20"/>
                <w:szCs w:val="20"/>
              </w:rPr>
              <w:t>Biodiversity &amp; Ecology</w:t>
            </w:r>
          </w:p>
        </w:tc>
        <w:tc>
          <w:tcPr>
            <w:tcW w:w="1134" w:type="dxa"/>
            <w:tcBorders>
              <w:bottom w:val="single" w:sz="4" w:space="0" w:color="auto"/>
            </w:tcBorders>
          </w:tcPr>
          <w:p w14:paraId="34CDD56E" w14:textId="77777777" w:rsidR="00280E8B" w:rsidRPr="00315244" w:rsidRDefault="00280E8B" w:rsidP="009C3C7F">
            <w:pPr>
              <w:rPr>
                <w:b/>
                <w:sz w:val="20"/>
                <w:szCs w:val="20"/>
              </w:rPr>
            </w:pPr>
            <w:r w:rsidRPr="00315244">
              <w:rPr>
                <w:b/>
                <w:sz w:val="20"/>
                <w:szCs w:val="20"/>
              </w:rPr>
              <w:t>Recreatio</w:t>
            </w:r>
            <w:r>
              <w:rPr>
                <w:b/>
                <w:sz w:val="20"/>
                <w:szCs w:val="20"/>
              </w:rPr>
              <w:t>n</w:t>
            </w:r>
            <w:r w:rsidRPr="00315244">
              <w:rPr>
                <w:b/>
                <w:sz w:val="20"/>
                <w:szCs w:val="20"/>
              </w:rPr>
              <w:t>, Leisure &amp; Landscape</w:t>
            </w:r>
          </w:p>
        </w:tc>
        <w:tc>
          <w:tcPr>
            <w:tcW w:w="1191" w:type="dxa"/>
            <w:tcBorders>
              <w:bottom w:val="single" w:sz="4" w:space="0" w:color="auto"/>
            </w:tcBorders>
          </w:tcPr>
          <w:p w14:paraId="57819E39" w14:textId="77777777" w:rsidR="00280E8B" w:rsidRPr="00315244" w:rsidRDefault="00280E8B" w:rsidP="009C3C7F">
            <w:pPr>
              <w:rPr>
                <w:b/>
                <w:sz w:val="20"/>
                <w:szCs w:val="20"/>
              </w:rPr>
            </w:pPr>
            <w:r w:rsidRPr="00315244">
              <w:rPr>
                <w:b/>
                <w:sz w:val="20"/>
                <w:szCs w:val="20"/>
              </w:rPr>
              <w:t>Community Engagement</w:t>
            </w:r>
          </w:p>
        </w:tc>
      </w:tr>
      <w:tr w:rsidR="009C65B7" w14:paraId="465F6DAB" w14:textId="77777777" w:rsidTr="00280E8B">
        <w:trPr>
          <w:cantSplit/>
        </w:trPr>
        <w:tc>
          <w:tcPr>
            <w:tcW w:w="2241" w:type="dxa"/>
          </w:tcPr>
          <w:p w14:paraId="75FDC0B4" w14:textId="5452A5D4" w:rsidR="009C65B7" w:rsidRDefault="009C65B7" w:rsidP="00F70DB9">
            <w:r>
              <w:t>UU CaST Project</w:t>
            </w:r>
            <w:r w:rsidR="002C2CB7">
              <w:t xml:space="preserve"> -</w:t>
            </w:r>
          </w:p>
          <w:p w14:paraId="22D6B626" w14:textId="4431616E" w:rsidR="009C65B7" w:rsidRDefault="00224E22" w:rsidP="00F70DB9">
            <w:r>
              <w:t>b</w:t>
            </w:r>
            <w:r w:rsidR="009C65B7">
              <w:t>iosecurity, schools and community outreach, events, reedbed creation at Tatton</w:t>
            </w:r>
          </w:p>
        </w:tc>
        <w:tc>
          <w:tcPr>
            <w:tcW w:w="1560" w:type="dxa"/>
          </w:tcPr>
          <w:p w14:paraId="221693EB" w14:textId="3E31824F" w:rsidR="009C65B7" w:rsidRDefault="009C65B7" w:rsidP="00F70DB9">
            <w:r>
              <w:t>Bollin</w:t>
            </w:r>
          </w:p>
          <w:p w14:paraId="0C60ECA4" w14:textId="2793A3BE" w:rsidR="00A2126E" w:rsidRDefault="00A2126E" w:rsidP="00F70DB9">
            <w:r>
              <w:t>Birkin Brook</w:t>
            </w:r>
          </w:p>
          <w:p w14:paraId="65FD78A1" w14:textId="54684841" w:rsidR="00A2126E" w:rsidRDefault="00A2126E" w:rsidP="00F70DB9">
            <w:r>
              <w:t>Dean</w:t>
            </w:r>
          </w:p>
          <w:p w14:paraId="5735561E" w14:textId="77777777" w:rsidR="009C65B7" w:rsidRDefault="009C65B7" w:rsidP="00F70DB9">
            <w:r>
              <w:t>Tatton Mere</w:t>
            </w:r>
          </w:p>
          <w:p w14:paraId="34359C22" w14:textId="37F47D99" w:rsidR="009C65B7" w:rsidRDefault="009C65B7" w:rsidP="00F70DB9"/>
        </w:tc>
        <w:tc>
          <w:tcPr>
            <w:tcW w:w="1984" w:type="dxa"/>
          </w:tcPr>
          <w:p w14:paraId="07B39906" w14:textId="33588DD0" w:rsidR="009C65B7" w:rsidRDefault="009C65B7" w:rsidP="00F70DB9">
            <w:r>
              <w:t xml:space="preserve">Secured </w:t>
            </w:r>
            <w:r w:rsidR="002500E3">
              <w:t xml:space="preserve">£48,550 </w:t>
            </w:r>
            <w:r>
              <w:t>- UU CaST Funding</w:t>
            </w:r>
          </w:p>
        </w:tc>
        <w:tc>
          <w:tcPr>
            <w:tcW w:w="1508" w:type="dxa"/>
          </w:tcPr>
          <w:p w14:paraId="10023866" w14:textId="77777777" w:rsidR="009C65B7" w:rsidRDefault="009C65B7" w:rsidP="00F70DB9">
            <w:r>
              <w:t>MRT (SP/JF), BVP (EH),</w:t>
            </w:r>
          </w:p>
          <w:p w14:paraId="403A63E4" w14:textId="77777777" w:rsidR="009C65B7" w:rsidRDefault="009C65B7" w:rsidP="00F70DB9">
            <w:r>
              <w:t>Others</w:t>
            </w:r>
          </w:p>
        </w:tc>
        <w:tc>
          <w:tcPr>
            <w:tcW w:w="2041" w:type="dxa"/>
          </w:tcPr>
          <w:p w14:paraId="1B16FC92" w14:textId="3D89E0AD" w:rsidR="009C65B7" w:rsidRDefault="00280E8B" w:rsidP="00280E8B">
            <w:r>
              <w:t>Ongoing – focus on informing communities about biosecurity, invasive species and water quality.  Workshops with communities, schools and guided walks planned for 2022. Reedbed work at Tatton 50% funded through this.</w:t>
            </w:r>
          </w:p>
        </w:tc>
        <w:tc>
          <w:tcPr>
            <w:tcW w:w="1077" w:type="dxa"/>
            <w:vAlign w:val="center"/>
          </w:tcPr>
          <w:p w14:paraId="5BE41F3D" w14:textId="77777777" w:rsidR="009C65B7" w:rsidRPr="00262661" w:rsidRDefault="009C65B7" w:rsidP="00F70DB9">
            <w:pPr>
              <w:jc w:val="center"/>
              <w:rPr>
                <w:sz w:val="24"/>
                <w:szCs w:val="24"/>
              </w:rPr>
            </w:pPr>
            <w:r w:rsidRPr="00262661">
              <w:rPr>
                <w:sz w:val="24"/>
                <w:szCs w:val="24"/>
              </w:rPr>
              <w:sym w:font="Wingdings" w:char="F0FC"/>
            </w:r>
          </w:p>
        </w:tc>
        <w:tc>
          <w:tcPr>
            <w:tcW w:w="1077" w:type="dxa"/>
            <w:vAlign w:val="center"/>
          </w:tcPr>
          <w:p w14:paraId="598F5BD3" w14:textId="77777777" w:rsidR="009C65B7" w:rsidRPr="00262661" w:rsidRDefault="009C65B7" w:rsidP="00F70DB9">
            <w:pPr>
              <w:jc w:val="center"/>
              <w:rPr>
                <w:sz w:val="24"/>
                <w:szCs w:val="24"/>
              </w:rPr>
            </w:pPr>
          </w:p>
        </w:tc>
        <w:tc>
          <w:tcPr>
            <w:tcW w:w="1077" w:type="dxa"/>
            <w:vAlign w:val="center"/>
          </w:tcPr>
          <w:p w14:paraId="6BC2805F" w14:textId="77777777" w:rsidR="009C65B7" w:rsidRPr="00262661" w:rsidRDefault="009C65B7" w:rsidP="00F70DB9">
            <w:pPr>
              <w:jc w:val="center"/>
              <w:rPr>
                <w:sz w:val="24"/>
                <w:szCs w:val="24"/>
              </w:rPr>
            </w:pPr>
            <w:r w:rsidRPr="00262661">
              <w:rPr>
                <w:sz w:val="24"/>
                <w:szCs w:val="24"/>
              </w:rPr>
              <w:sym w:font="Wingdings" w:char="F0FC"/>
            </w:r>
          </w:p>
        </w:tc>
        <w:tc>
          <w:tcPr>
            <w:tcW w:w="1134" w:type="dxa"/>
            <w:vAlign w:val="center"/>
          </w:tcPr>
          <w:p w14:paraId="1FC3AABC" w14:textId="77777777" w:rsidR="009C65B7" w:rsidRPr="00262661" w:rsidRDefault="009C65B7" w:rsidP="00F70DB9">
            <w:pPr>
              <w:jc w:val="center"/>
              <w:rPr>
                <w:sz w:val="24"/>
                <w:szCs w:val="24"/>
              </w:rPr>
            </w:pPr>
          </w:p>
        </w:tc>
        <w:tc>
          <w:tcPr>
            <w:tcW w:w="1191" w:type="dxa"/>
            <w:vAlign w:val="center"/>
          </w:tcPr>
          <w:p w14:paraId="3079A944" w14:textId="77777777" w:rsidR="009C65B7" w:rsidRPr="00262661" w:rsidRDefault="009C65B7" w:rsidP="00F70DB9">
            <w:pPr>
              <w:jc w:val="center"/>
              <w:rPr>
                <w:sz w:val="24"/>
                <w:szCs w:val="24"/>
              </w:rPr>
            </w:pPr>
            <w:r w:rsidRPr="00262661">
              <w:rPr>
                <w:sz w:val="24"/>
                <w:szCs w:val="24"/>
              </w:rPr>
              <w:sym w:font="Wingdings" w:char="F0FC"/>
            </w:r>
          </w:p>
        </w:tc>
      </w:tr>
      <w:tr w:rsidR="00027605" w14:paraId="3F0721A8" w14:textId="77777777" w:rsidTr="00AF25A6">
        <w:tc>
          <w:tcPr>
            <w:tcW w:w="2241" w:type="dxa"/>
          </w:tcPr>
          <w:p w14:paraId="08612B67" w14:textId="49FF1E07" w:rsidR="00027605" w:rsidRDefault="00027605" w:rsidP="00027605">
            <w:r>
              <w:t>Bollin Biodiversity – INNS, biosecurity, traineeship, bioblitz</w:t>
            </w:r>
          </w:p>
        </w:tc>
        <w:tc>
          <w:tcPr>
            <w:tcW w:w="1560" w:type="dxa"/>
          </w:tcPr>
          <w:p w14:paraId="570F541F" w14:textId="77777777" w:rsidR="00027605" w:rsidRDefault="00027605" w:rsidP="00027605">
            <w:r>
              <w:t>Bollin</w:t>
            </w:r>
          </w:p>
          <w:p w14:paraId="645DCB11" w14:textId="77777777" w:rsidR="00027605" w:rsidRDefault="00027605" w:rsidP="00027605">
            <w:r>
              <w:t>Birkin Brook</w:t>
            </w:r>
          </w:p>
          <w:p w14:paraId="12CAC472" w14:textId="487E507C" w:rsidR="00027605" w:rsidRDefault="00027605" w:rsidP="00027605">
            <w:r>
              <w:t>Tatton Mere</w:t>
            </w:r>
          </w:p>
        </w:tc>
        <w:tc>
          <w:tcPr>
            <w:tcW w:w="1984" w:type="dxa"/>
          </w:tcPr>
          <w:p w14:paraId="07DEFB78" w14:textId="593F2FEE" w:rsidR="00027605" w:rsidRDefault="00027605" w:rsidP="00027605">
            <w:r>
              <w:t xml:space="preserve">Secured £109,000 – HLF Green Recovery </w:t>
            </w:r>
            <w:r w:rsidR="00011283">
              <w:t xml:space="preserve"> Ch Fun</w:t>
            </w:r>
            <w:r w:rsidR="00B74035">
              <w:t>d</w:t>
            </w:r>
          </w:p>
        </w:tc>
        <w:tc>
          <w:tcPr>
            <w:tcW w:w="1508" w:type="dxa"/>
          </w:tcPr>
          <w:p w14:paraId="24091E88" w14:textId="77777777" w:rsidR="00027605" w:rsidRDefault="00027605" w:rsidP="00027605">
            <w:r>
              <w:t>MRT (SP/JF)</w:t>
            </w:r>
          </w:p>
          <w:p w14:paraId="769B5CC5" w14:textId="77777777" w:rsidR="00BF5611" w:rsidRDefault="00BF5611" w:rsidP="00BF5611">
            <w:r>
              <w:t>BVP (EH),</w:t>
            </w:r>
          </w:p>
          <w:p w14:paraId="1061EAF6" w14:textId="4142DCDD" w:rsidR="00BF5611" w:rsidRDefault="00BF5611" w:rsidP="00BF5611">
            <w:r>
              <w:t>Others</w:t>
            </w:r>
          </w:p>
        </w:tc>
        <w:tc>
          <w:tcPr>
            <w:tcW w:w="2041" w:type="dxa"/>
          </w:tcPr>
          <w:p w14:paraId="177F93F8" w14:textId="718AD6DA" w:rsidR="00027605" w:rsidRDefault="00280E8B" w:rsidP="00F4271A">
            <w:r>
              <w:t>Ongoing – focus on habitat restoration through INNS control, tree, wildflower and shrub planting with volunteers and landowners etc.</w:t>
            </w:r>
          </w:p>
        </w:tc>
        <w:tc>
          <w:tcPr>
            <w:tcW w:w="1077" w:type="dxa"/>
            <w:vAlign w:val="center"/>
          </w:tcPr>
          <w:p w14:paraId="145C5834" w14:textId="77777777" w:rsidR="00027605" w:rsidRPr="00262661" w:rsidRDefault="00027605" w:rsidP="00027605">
            <w:pPr>
              <w:jc w:val="center"/>
              <w:rPr>
                <w:sz w:val="24"/>
                <w:szCs w:val="24"/>
              </w:rPr>
            </w:pPr>
          </w:p>
        </w:tc>
        <w:tc>
          <w:tcPr>
            <w:tcW w:w="1077" w:type="dxa"/>
            <w:vAlign w:val="center"/>
          </w:tcPr>
          <w:p w14:paraId="35B084D4" w14:textId="77777777" w:rsidR="00027605" w:rsidRPr="00262661" w:rsidRDefault="00027605" w:rsidP="00027605">
            <w:pPr>
              <w:jc w:val="center"/>
              <w:rPr>
                <w:sz w:val="24"/>
                <w:szCs w:val="24"/>
              </w:rPr>
            </w:pPr>
          </w:p>
        </w:tc>
        <w:tc>
          <w:tcPr>
            <w:tcW w:w="1077" w:type="dxa"/>
            <w:vAlign w:val="center"/>
          </w:tcPr>
          <w:p w14:paraId="4FE48CDC" w14:textId="2DAAC99C" w:rsidR="00027605" w:rsidRPr="00262661" w:rsidRDefault="00027605" w:rsidP="00027605">
            <w:pPr>
              <w:jc w:val="center"/>
              <w:rPr>
                <w:sz w:val="24"/>
                <w:szCs w:val="24"/>
              </w:rPr>
            </w:pPr>
            <w:r w:rsidRPr="00262661">
              <w:rPr>
                <w:sz w:val="24"/>
                <w:szCs w:val="24"/>
              </w:rPr>
              <w:sym w:font="Wingdings" w:char="F0FC"/>
            </w:r>
          </w:p>
        </w:tc>
        <w:tc>
          <w:tcPr>
            <w:tcW w:w="1134" w:type="dxa"/>
            <w:vAlign w:val="center"/>
          </w:tcPr>
          <w:p w14:paraId="0DFCB794" w14:textId="77777777" w:rsidR="00027605" w:rsidRPr="00262661" w:rsidRDefault="00027605" w:rsidP="00027605">
            <w:pPr>
              <w:jc w:val="center"/>
              <w:rPr>
                <w:sz w:val="24"/>
                <w:szCs w:val="24"/>
              </w:rPr>
            </w:pPr>
          </w:p>
        </w:tc>
        <w:tc>
          <w:tcPr>
            <w:tcW w:w="1191" w:type="dxa"/>
            <w:vAlign w:val="center"/>
          </w:tcPr>
          <w:p w14:paraId="331B7292" w14:textId="3DD127B2" w:rsidR="00027605" w:rsidRPr="00262661" w:rsidRDefault="00027605" w:rsidP="00027605">
            <w:pPr>
              <w:jc w:val="center"/>
              <w:rPr>
                <w:sz w:val="24"/>
                <w:szCs w:val="24"/>
              </w:rPr>
            </w:pPr>
            <w:r w:rsidRPr="00262661">
              <w:rPr>
                <w:sz w:val="24"/>
                <w:szCs w:val="24"/>
              </w:rPr>
              <w:sym w:font="Wingdings" w:char="F0FC"/>
            </w:r>
          </w:p>
        </w:tc>
      </w:tr>
      <w:tr w:rsidR="007208F0" w:rsidRPr="0034194B" w14:paraId="773079E4" w14:textId="77777777" w:rsidTr="00540B7A">
        <w:tc>
          <w:tcPr>
            <w:tcW w:w="2241" w:type="dxa"/>
            <w:tcBorders>
              <w:top w:val="single" w:sz="4" w:space="0" w:color="auto"/>
              <w:bottom w:val="single" w:sz="4" w:space="0" w:color="auto"/>
            </w:tcBorders>
          </w:tcPr>
          <w:p w14:paraId="41C97E85" w14:textId="122090F1" w:rsidR="007208F0" w:rsidRPr="00262661" w:rsidRDefault="007208F0" w:rsidP="007208F0">
            <w:bookmarkStart w:id="2" w:name="_Hlk77260605"/>
            <w:r w:rsidRPr="00262661">
              <w:t>CSO/SSO - review of data and compare this with UU prioritisation process to determine next steps</w:t>
            </w:r>
          </w:p>
        </w:tc>
        <w:tc>
          <w:tcPr>
            <w:tcW w:w="1560" w:type="dxa"/>
            <w:tcBorders>
              <w:top w:val="single" w:sz="4" w:space="0" w:color="auto"/>
              <w:bottom w:val="single" w:sz="4" w:space="0" w:color="auto"/>
            </w:tcBorders>
          </w:tcPr>
          <w:p w14:paraId="6A079C9D" w14:textId="16071943" w:rsidR="007208F0" w:rsidRPr="0034194B" w:rsidRDefault="007208F0" w:rsidP="007208F0">
            <w:r w:rsidRPr="0034194B">
              <w:t>Bollin catchment</w:t>
            </w:r>
          </w:p>
        </w:tc>
        <w:tc>
          <w:tcPr>
            <w:tcW w:w="1984" w:type="dxa"/>
            <w:tcBorders>
              <w:top w:val="single" w:sz="4" w:space="0" w:color="auto"/>
              <w:bottom w:val="single" w:sz="4" w:space="0" w:color="auto"/>
            </w:tcBorders>
          </w:tcPr>
          <w:p w14:paraId="41102D3E" w14:textId="1012F6CB" w:rsidR="007208F0" w:rsidRPr="0034194B" w:rsidRDefault="007208F0" w:rsidP="007208F0">
            <w:r w:rsidRPr="0034194B">
              <w:t>n/a</w:t>
            </w:r>
          </w:p>
        </w:tc>
        <w:tc>
          <w:tcPr>
            <w:tcW w:w="1508" w:type="dxa"/>
            <w:tcBorders>
              <w:top w:val="single" w:sz="4" w:space="0" w:color="auto"/>
              <w:bottom w:val="single" w:sz="4" w:space="0" w:color="auto"/>
            </w:tcBorders>
          </w:tcPr>
          <w:p w14:paraId="4EE3A456" w14:textId="20522A37" w:rsidR="007208F0" w:rsidRPr="0034194B" w:rsidRDefault="007208F0" w:rsidP="007208F0">
            <w:r w:rsidRPr="0034194B">
              <w:t>MRT (SP</w:t>
            </w:r>
            <w:r>
              <w:t>/JS/RG)</w:t>
            </w:r>
          </w:p>
          <w:p w14:paraId="24A4872E" w14:textId="77777777" w:rsidR="007208F0" w:rsidRPr="0034194B" w:rsidRDefault="007208F0" w:rsidP="007208F0"/>
        </w:tc>
        <w:tc>
          <w:tcPr>
            <w:tcW w:w="2041" w:type="dxa"/>
            <w:tcBorders>
              <w:top w:val="single" w:sz="4" w:space="0" w:color="auto"/>
              <w:bottom w:val="single" w:sz="4" w:space="0" w:color="auto"/>
            </w:tcBorders>
          </w:tcPr>
          <w:p w14:paraId="56E2B984" w14:textId="6F4DE04E" w:rsidR="007208F0" w:rsidRPr="0034194B" w:rsidRDefault="007208F0" w:rsidP="007208F0">
            <w:pPr>
              <w:rPr>
                <w:sz w:val="20"/>
                <w:szCs w:val="20"/>
              </w:rPr>
            </w:pPr>
            <w:r w:rsidRPr="0034194B">
              <w:rPr>
                <w:sz w:val="20"/>
                <w:szCs w:val="20"/>
              </w:rPr>
              <w:t>On-going</w:t>
            </w:r>
            <w:r w:rsidR="00982A0B">
              <w:rPr>
                <w:sz w:val="20"/>
                <w:szCs w:val="20"/>
              </w:rPr>
              <w:t xml:space="preserve"> + discussion with UU</w:t>
            </w:r>
            <w:r w:rsidR="00280E8B">
              <w:rPr>
                <w:sz w:val="20"/>
                <w:szCs w:val="20"/>
              </w:rPr>
              <w:t>, centring on Harrop Brook catchment.</w:t>
            </w:r>
          </w:p>
        </w:tc>
        <w:tc>
          <w:tcPr>
            <w:tcW w:w="1077" w:type="dxa"/>
            <w:tcBorders>
              <w:bottom w:val="single" w:sz="4" w:space="0" w:color="auto"/>
            </w:tcBorders>
            <w:vAlign w:val="center"/>
          </w:tcPr>
          <w:p w14:paraId="52F3D392" w14:textId="2CAEB304" w:rsidR="007208F0" w:rsidRPr="00262661" w:rsidRDefault="007208F0" w:rsidP="007208F0">
            <w:pPr>
              <w:jc w:val="center"/>
              <w:rPr>
                <w:sz w:val="24"/>
                <w:szCs w:val="24"/>
              </w:rPr>
            </w:pPr>
            <w:r w:rsidRPr="00262661">
              <w:rPr>
                <w:sz w:val="24"/>
                <w:szCs w:val="24"/>
              </w:rPr>
              <w:sym w:font="Wingdings" w:char="F0FC"/>
            </w:r>
          </w:p>
        </w:tc>
        <w:tc>
          <w:tcPr>
            <w:tcW w:w="1077" w:type="dxa"/>
            <w:tcBorders>
              <w:bottom w:val="single" w:sz="4" w:space="0" w:color="auto"/>
            </w:tcBorders>
            <w:vAlign w:val="center"/>
          </w:tcPr>
          <w:p w14:paraId="6F0860FA" w14:textId="77777777" w:rsidR="007208F0" w:rsidRPr="00262661" w:rsidRDefault="007208F0" w:rsidP="007208F0">
            <w:pPr>
              <w:jc w:val="center"/>
              <w:rPr>
                <w:sz w:val="24"/>
                <w:szCs w:val="24"/>
              </w:rPr>
            </w:pPr>
          </w:p>
        </w:tc>
        <w:tc>
          <w:tcPr>
            <w:tcW w:w="1077" w:type="dxa"/>
            <w:tcBorders>
              <w:bottom w:val="single" w:sz="4" w:space="0" w:color="auto"/>
            </w:tcBorders>
            <w:vAlign w:val="center"/>
          </w:tcPr>
          <w:p w14:paraId="2F7D47F7" w14:textId="77777777" w:rsidR="007208F0" w:rsidRPr="00262661" w:rsidRDefault="007208F0" w:rsidP="007208F0">
            <w:pPr>
              <w:jc w:val="center"/>
              <w:rPr>
                <w:sz w:val="24"/>
                <w:szCs w:val="24"/>
              </w:rPr>
            </w:pPr>
          </w:p>
        </w:tc>
        <w:tc>
          <w:tcPr>
            <w:tcW w:w="1134" w:type="dxa"/>
            <w:tcBorders>
              <w:bottom w:val="single" w:sz="4" w:space="0" w:color="auto"/>
            </w:tcBorders>
            <w:vAlign w:val="center"/>
          </w:tcPr>
          <w:p w14:paraId="743E8CFE" w14:textId="77777777" w:rsidR="007208F0" w:rsidRPr="00262661" w:rsidRDefault="007208F0" w:rsidP="007208F0">
            <w:pPr>
              <w:jc w:val="center"/>
              <w:rPr>
                <w:sz w:val="24"/>
                <w:szCs w:val="24"/>
              </w:rPr>
            </w:pPr>
          </w:p>
        </w:tc>
        <w:tc>
          <w:tcPr>
            <w:tcW w:w="1191" w:type="dxa"/>
            <w:tcBorders>
              <w:bottom w:val="single" w:sz="4" w:space="0" w:color="auto"/>
            </w:tcBorders>
            <w:vAlign w:val="center"/>
          </w:tcPr>
          <w:p w14:paraId="1EB3EA4E" w14:textId="77777777" w:rsidR="007208F0" w:rsidRPr="00262661" w:rsidRDefault="007208F0" w:rsidP="007208F0">
            <w:pPr>
              <w:jc w:val="center"/>
              <w:rPr>
                <w:sz w:val="24"/>
                <w:szCs w:val="24"/>
              </w:rPr>
            </w:pPr>
          </w:p>
        </w:tc>
      </w:tr>
      <w:tr w:rsidR="007208F0" w:rsidRPr="0034194B" w14:paraId="2F6203DA" w14:textId="77777777" w:rsidTr="00540B7A">
        <w:tc>
          <w:tcPr>
            <w:tcW w:w="2241" w:type="dxa"/>
          </w:tcPr>
          <w:p w14:paraId="1E916B8D" w14:textId="05069E0A" w:rsidR="007208F0" w:rsidRPr="00262661" w:rsidRDefault="007208F0" w:rsidP="007208F0">
            <w:r w:rsidRPr="00262661">
              <w:t>Moor Pool Pumping Station</w:t>
            </w:r>
            <w:r w:rsidR="00E839F5" w:rsidRPr="00262661">
              <w:t xml:space="preserve"> </w:t>
            </w:r>
            <w:r w:rsidRPr="00262661">
              <w:t>- UU ha</w:t>
            </w:r>
            <w:r w:rsidR="00E839F5" w:rsidRPr="00262661">
              <w:t>s</w:t>
            </w:r>
            <w:r w:rsidRPr="00262661">
              <w:t xml:space="preserve"> target to cease all discharges from this pumping station. </w:t>
            </w:r>
          </w:p>
        </w:tc>
        <w:tc>
          <w:tcPr>
            <w:tcW w:w="1560" w:type="dxa"/>
          </w:tcPr>
          <w:p w14:paraId="4BD7BC04" w14:textId="013C3886" w:rsidR="007208F0" w:rsidRPr="0034194B" w:rsidRDefault="007208F0" w:rsidP="007208F0">
            <w:r w:rsidRPr="0034194B">
              <w:t xml:space="preserve">Tatton Mere </w:t>
            </w:r>
          </w:p>
        </w:tc>
        <w:tc>
          <w:tcPr>
            <w:tcW w:w="1984" w:type="dxa"/>
          </w:tcPr>
          <w:p w14:paraId="7E510E52" w14:textId="03F4DBD5" w:rsidR="007208F0" w:rsidRPr="0034194B" w:rsidRDefault="00826B5A" w:rsidP="007208F0">
            <w:r>
              <w:t>Currently unfunded.</w:t>
            </w:r>
          </w:p>
          <w:p w14:paraId="2E54BD58" w14:textId="6C8D19A6" w:rsidR="007208F0" w:rsidRPr="0034194B" w:rsidRDefault="007208F0" w:rsidP="00262661">
            <w:r w:rsidRPr="0034194B">
              <w:t>Possibl</w:t>
            </w:r>
            <w:r w:rsidR="00826B5A">
              <w:t>y</w:t>
            </w:r>
            <w:r w:rsidRPr="0034194B">
              <w:t xml:space="preserve"> Natural Course</w:t>
            </w:r>
            <w:r w:rsidR="00826B5A">
              <w:t>,</w:t>
            </w:r>
            <w:r w:rsidR="00262661">
              <w:t xml:space="preserve"> </w:t>
            </w:r>
            <w:r w:rsidRPr="0034194B">
              <w:t>UU</w:t>
            </w:r>
            <w:r w:rsidR="00262661">
              <w:t xml:space="preserve">, </w:t>
            </w:r>
            <w:r w:rsidRPr="0034194B">
              <w:t>Tatton Estates</w:t>
            </w:r>
          </w:p>
        </w:tc>
        <w:tc>
          <w:tcPr>
            <w:tcW w:w="1508" w:type="dxa"/>
          </w:tcPr>
          <w:p w14:paraId="101EA1AF" w14:textId="57B39141" w:rsidR="007208F0" w:rsidRPr="0034194B" w:rsidRDefault="006C31F8" w:rsidP="007208F0">
            <w:r>
              <w:t>MRT (</w:t>
            </w:r>
            <w:r w:rsidR="007208F0" w:rsidRPr="0034194B">
              <w:t>SP</w:t>
            </w:r>
            <w:r>
              <w:t>/</w:t>
            </w:r>
            <w:r w:rsidR="007208F0" w:rsidRPr="0034194B">
              <w:t>JS</w:t>
            </w:r>
            <w:r w:rsidR="00B73065">
              <w:t>),</w:t>
            </w:r>
          </w:p>
          <w:p w14:paraId="03F0B549" w14:textId="3A78D320" w:rsidR="007208F0" w:rsidRPr="0034194B" w:rsidRDefault="007208F0" w:rsidP="007208F0">
            <w:r w:rsidRPr="0034194B">
              <w:t>Cheshire Hub partners</w:t>
            </w:r>
            <w:r w:rsidR="00BF5611">
              <w:t>, Tatton Estates, Tatton Park</w:t>
            </w:r>
            <w:r w:rsidR="00280E8B">
              <w:t>, Natural Eng</w:t>
            </w:r>
          </w:p>
        </w:tc>
        <w:tc>
          <w:tcPr>
            <w:tcW w:w="2041" w:type="dxa"/>
            <w:tcBorders>
              <w:top w:val="single" w:sz="4" w:space="0" w:color="auto"/>
              <w:bottom w:val="single" w:sz="4" w:space="0" w:color="auto"/>
            </w:tcBorders>
          </w:tcPr>
          <w:p w14:paraId="44675C9A" w14:textId="768A21BF" w:rsidR="007208F0" w:rsidRPr="00591AD4" w:rsidRDefault="00280E8B" w:rsidP="007208F0">
            <w:r>
              <w:t>Ongoing discussions with partners and planning</w:t>
            </w:r>
          </w:p>
        </w:tc>
        <w:tc>
          <w:tcPr>
            <w:tcW w:w="1077" w:type="dxa"/>
            <w:tcBorders>
              <w:top w:val="single" w:sz="4" w:space="0" w:color="auto"/>
              <w:bottom w:val="single" w:sz="4" w:space="0" w:color="auto"/>
            </w:tcBorders>
            <w:vAlign w:val="center"/>
          </w:tcPr>
          <w:p w14:paraId="4C586ACB" w14:textId="4516647D" w:rsidR="007208F0" w:rsidRPr="00262661" w:rsidRDefault="007208F0" w:rsidP="007208F0">
            <w:pPr>
              <w:jc w:val="center"/>
              <w:rPr>
                <w:sz w:val="24"/>
                <w:szCs w:val="24"/>
              </w:rPr>
            </w:pPr>
            <w:r w:rsidRPr="00262661">
              <w:rPr>
                <w:sz w:val="24"/>
                <w:szCs w:val="24"/>
              </w:rPr>
              <w:sym w:font="Wingdings" w:char="F0FC"/>
            </w:r>
          </w:p>
        </w:tc>
        <w:tc>
          <w:tcPr>
            <w:tcW w:w="1077" w:type="dxa"/>
            <w:tcBorders>
              <w:top w:val="single" w:sz="4" w:space="0" w:color="auto"/>
              <w:bottom w:val="single" w:sz="4" w:space="0" w:color="auto"/>
            </w:tcBorders>
            <w:vAlign w:val="center"/>
          </w:tcPr>
          <w:p w14:paraId="7705C855" w14:textId="77777777" w:rsidR="007208F0" w:rsidRPr="00262661" w:rsidRDefault="007208F0" w:rsidP="007208F0">
            <w:pPr>
              <w:jc w:val="center"/>
              <w:rPr>
                <w:sz w:val="24"/>
                <w:szCs w:val="24"/>
              </w:rPr>
            </w:pPr>
          </w:p>
        </w:tc>
        <w:tc>
          <w:tcPr>
            <w:tcW w:w="1077" w:type="dxa"/>
            <w:tcBorders>
              <w:top w:val="single" w:sz="4" w:space="0" w:color="auto"/>
              <w:bottom w:val="single" w:sz="4" w:space="0" w:color="auto"/>
            </w:tcBorders>
            <w:vAlign w:val="center"/>
          </w:tcPr>
          <w:p w14:paraId="33E355DF" w14:textId="77777777" w:rsidR="007208F0" w:rsidRPr="00262661" w:rsidRDefault="007208F0" w:rsidP="007208F0">
            <w:pPr>
              <w:jc w:val="center"/>
              <w:rPr>
                <w:sz w:val="24"/>
                <w:szCs w:val="24"/>
              </w:rPr>
            </w:pPr>
          </w:p>
        </w:tc>
        <w:tc>
          <w:tcPr>
            <w:tcW w:w="1134" w:type="dxa"/>
            <w:tcBorders>
              <w:top w:val="single" w:sz="4" w:space="0" w:color="auto"/>
              <w:bottom w:val="single" w:sz="4" w:space="0" w:color="auto"/>
            </w:tcBorders>
            <w:vAlign w:val="center"/>
          </w:tcPr>
          <w:p w14:paraId="3362228E" w14:textId="77777777" w:rsidR="007208F0" w:rsidRPr="00262661" w:rsidRDefault="007208F0" w:rsidP="007208F0">
            <w:pPr>
              <w:jc w:val="center"/>
              <w:rPr>
                <w:sz w:val="24"/>
                <w:szCs w:val="24"/>
              </w:rPr>
            </w:pPr>
          </w:p>
        </w:tc>
        <w:tc>
          <w:tcPr>
            <w:tcW w:w="1191" w:type="dxa"/>
            <w:tcBorders>
              <w:top w:val="single" w:sz="4" w:space="0" w:color="auto"/>
              <w:bottom w:val="single" w:sz="4" w:space="0" w:color="auto"/>
            </w:tcBorders>
            <w:vAlign w:val="center"/>
          </w:tcPr>
          <w:p w14:paraId="56D4738E" w14:textId="77777777" w:rsidR="007208F0" w:rsidRPr="00262661" w:rsidRDefault="007208F0" w:rsidP="007208F0">
            <w:pPr>
              <w:jc w:val="center"/>
              <w:rPr>
                <w:sz w:val="24"/>
                <w:szCs w:val="24"/>
              </w:rPr>
            </w:pPr>
          </w:p>
        </w:tc>
      </w:tr>
      <w:bookmarkEnd w:id="2"/>
    </w:tbl>
    <w:p w14:paraId="49E5D5B3" w14:textId="77777777" w:rsidR="00280E8B" w:rsidRDefault="00280E8B">
      <w:r>
        <w:br w:type="page"/>
      </w:r>
    </w:p>
    <w:tbl>
      <w:tblPr>
        <w:tblStyle w:val="TableGrid"/>
        <w:tblW w:w="14890" w:type="dxa"/>
        <w:tblLayout w:type="fixed"/>
        <w:tblLook w:val="04A0" w:firstRow="1" w:lastRow="0" w:firstColumn="1" w:lastColumn="0" w:noHBand="0" w:noVBand="1"/>
      </w:tblPr>
      <w:tblGrid>
        <w:gridCol w:w="2241"/>
        <w:gridCol w:w="1560"/>
        <w:gridCol w:w="1984"/>
        <w:gridCol w:w="1508"/>
        <w:gridCol w:w="2041"/>
        <w:gridCol w:w="1077"/>
        <w:gridCol w:w="1077"/>
        <w:gridCol w:w="1077"/>
        <w:gridCol w:w="1134"/>
        <w:gridCol w:w="1191"/>
      </w:tblGrid>
      <w:tr w:rsidR="00280E8B" w:rsidRPr="005A7F07" w14:paraId="1BC54341" w14:textId="77777777" w:rsidTr="009C3C7F">
        <w:tc>
          <w:tcPr>
            <w:tcW w:w="2241" w:type="dxa"/>
            <w:tcBorders>
              <w:top w:val="nil"/>
              <w:bottom w:val="single" w:sz="4" w:space="0" w:color="auto"/>
            </w:tcBorders>
          </w:tcPr>
          <w:p w14:paraId="2A8F2A15" w14:textId="77777777" w:rsidR="00280E8B" w:rsidRPr="00262661" w:rsidRDefault="00280E8B" w:rsidP="009C3C7F">
            <w:pPr>
              <w:rPr>
                <w:b/>
              </w:rPr>
            </w:pPr>
            <w:r w:rsidRPr="00262661">
              <w:rPr>
                <w:b/>
              </w:rPr>
              <w:lastRenderedPageBreak/>
              <w:t>Project Details</w:t>
            </w:r>
          </w:p>
        </w:tc>
        <w:tc>
          <w:tcPr>
            <w:tcW w:w="1560" w:type="dxa"/>
            <w:tcBorders>
              <w:top w:val="nil"/>
              <w:bottom w:val="single" w:sz="4" w:space="0" w:color="auto"/>
            </w:tcBorders>
          </w:tcPr>
          <w:p w14:paraId="514E230C" w14:textId="77777777" w:rsidR="00280E8B" w:rsidRPr="005A7F07" w:rsidRDefault="00280E8B" w:rsidP="009C3C7F">
            <w:pPr>
              <w:rPr>
                <w:b/>
              </w:rPr>
            </w:pPr>
            <w:r w:rsidRPr="005A7F07">
              <w:rPr>
                <w:b/>
              </w:rPr>
              <w:t>Waterbod</w:t>
            </w:r>
            <w:r>
              <w:rPr>
                <w:b/>
              </w:rPr>
              <w:t>ies</w:t>
            </w:r>
          </w:p>
        </w:tc>
        <w:tc>
          <w:tcPr>
            <w:tcW w:w="1984" w:type="dxa"/>
            <w:tcBorders>
              <w:top w:val="nil"/>
              <w:bottom w:val="single" w:sz="4" w:space="0" w:color="auto"/>
            </w:tcBorders>
          </w:tcPr>
          <w:p w14:paraId="3DA35EC6" w14:textId="77777777" w:rsidR="00280E8B" w:rsidRPr="005A7F07" w:rsidRDefault="00280E8B" w:rsidP="009C3C7F">
            <w:pPr>
              <w:rPr>
                <w:b/>
              </w:rPr>
            </w:pPr>
            <w:r w:rsidRPr="005A7F07">
              <w:rPr>
                <w:b/>
              </w:rPr>
              <w:t>Funded?</w:t>
            </w:r>
          </w:p>
        </w:tc>
        <w:tc>
          <w:tcPr>
            <w:tcW w:w="1508" w:type="dxa"/>
            <w:tcBorders>
              <w:top w:val="nil"/>
              <w:bottom w:val="single" w:sz="4" w:space="0" w:color="auto"/>
            </w:tcBorders>
          </w:tcPr>
          <w:p w14:paraId="3F779C7C" w14:textId="77777777" w:rsidR="00280E8B" w:rsidRPr="005A7F07" w:rsidRDefault="00280E8B" w:rsidP="009C3C7F">
            <w:pPr>
              <w:rPr>
                <w:b/>
              </w:rPr>
            </w:pPr>
            <w:r>
              <w:rPr>
                <w:b/>
              </w:rPr>
              <w:t>Organisation</w:t>
            </w:r>
          </w:p>
        </w:tc>
        <w:tc>
          <w:tcPr>
            <w:tcW w:w="2041" w:type="dxa"/>
            <w:tcBorders>
              <w:top w:val="nil"/>
              <w:bottom w:val="single" w:sz="4" w:space="0" w:color="auto"/>
            </w:tcBorders>
          </w:tcPr>
          <w:p w14:paraId="6ABB109E" w14:textId="77777777" w:rsidR="00280E8B" w:rsidRPr="00315244" w:rsidRDefault="00280E8B" w:rsidP="009C3C7F">
            <w:pPr>
              <w:rPr>
                <w:b/>
                <w:sz w:val="20"/>
                <w:szCs w:val="20"/>
              </w:rPr>
            </w:pPr>
            <w:r>
              <w:rPr>
                <w:b/>
                <w:sz w:val="20"/>
                <w:szCs w:val="20"/>
              </w:rPr>
              <w:t>Status/Comment</w:t>
            </w:r>
          </w:p>
        </w:tc>
        <w:tc>
          <w:tcPr>
            <w:tcW w:w="1077" w:type="dxa"/>
            <w:tcBorders>
              <w:bottom w:val="single" w:sz="4" w:space="0" w:color="auto"/>
            </w:tcBorders>
          </w:tcPr>
          <w:p w14:paraId="257979DB" w14:textId="77777777" w:rsidR="00280E8B" w:rsidRPr="00315244" w:rsidRDefault="00280E8B" w:rsidP="009C3C7F">
            <w:pPr>
              <w:rPr>
                <w:b/>
                <w:sz w:val="20"/>
                <w:szCs w:val="20"/>
              </w:rPr>
            </w:pPr>
            <w:r w:rsidRPr="00315244">
              <w:rPr>
                <w:b/>
                <w:sz w:val="20"/>
                <w:szCs w:val="20"/>
              </w:rPr>
              <w:t>Water Quality</w:t>
            </w:r>
          </w:p>
        </w:tc>
        <w:tc>
          <w:tcPr>
            <w:tcW w:w="1077" w:type="dxa"/>
            <w:tcBorders>
              <w:bottom w:val="single" w:sz="4" w:space="0" w:color="auto"/>
            </w:tcBorders>
          </w:tcPr>
          <w:p w14:paraId="40449515" w14:textId="77777777" w:rsidR="00280E8B" w:rsidRPr="00315244" w:rsidRDefault="00280E8B" w:rsidP="009C3C7F">
            <w:pPr>
              <w:rPr>
                <w:b/>
                <w:sz w:val="20"/>
                <w:szCs w:val="20"/>
              </w:rPr>
            </w:pPr>
            <w:r w:rsidRPr="00315244">
              <w:rPr>
                <w:b/>
                <w:sz w:val="20"/>
                <w:szCs w:val="20"/>
              </w:rPr>
              <w:t>Flood Risk</w:t>
            </w:r>
          </w:p>
        </w:tc>
        <w:tc>
          <w:tcPr>
            <w:tcW w:w="1077" w:type="dxa"/>
            <w:tcBorders>
              <w:bottom w:val="single" w:sz="4" w:space="0" w:color="auto"/>
            </w:tcBorders>
          </w:tcPr>
          <w:p w14:paraId="22182E42" w14:textId="77777777" w:rsidR="00280E8B" w:rsidRPr="00315244" w:rsidRDefault="00280E8B" w:rsidP="009C3C7F">
            <w:pPr>
              <w:rPr>
                <w:b/>
                <w:sz w:val="20"/>
                <w:szCs w:val="20"/>
              </w:rPr>
            </w:pPr>
            <w:r w:rsidRPr="00315244">
              <w:rPr>
                <w:b/>
                <w:sz w:val="20"/>
                <w:szCs w:val="20"/>
              </w:rPr>
              <w:t>Biodiversity &amp; Ecology</w:t>
            </w:r>
          </w:p>
        </w:tc>
        <w:tc>
          <w:tcPr>
            <w:tcW w:w="1134" w:type="dxa"/>
            <w:tcBorders>
              <w:bottom w:val="single" w:sz="4" w:space="0" w:color="auto"/>
            </w:tcBorders>
          </w:tcPr>
          <w:p w14:paraId="14B35579" w14:textId="77777777" w:rsidR="00280E8B" w:rsidRPr="00315244" w:rsidRDefault="00280E8B" w:rsidP="009C3C7F">
            <w:pPr>
              <w:rPr>
                <w:b/>
                <w:sz w:val="20"/>
                <w:szCs w:val="20"/>
              </w:rPr>
            </w:pPr>
            <w:r w:rsidRPr="00315244">
              <w:rPr>
                <w:b/>
                <w:sz w:val="20"/>
                <w:szCs w:val="20"/>
              </w:rPr>
              <w:t>Recreatio</w:t>
            </w:r>
            <w:r>
              <w:rPr>
                <w:b/>
                <w:sz w:val="20"/>
                <w:szCs w:val="20"/>
              </w:rPr>
              <w:t>n</w:t>
            </w:r>
            <w:r w:rsidRPr="00315244">
              <w:rPr>
                <w:b/>
                <w:sz w:val="20"/>
                <w:szCs w:val="20"/>
              </w:rPr>
              <w:t>, Leisure &amp; Landscape</w:t>
            </w:r>
          </w:p>
        </w:tc>
        <w:tc>
          <w:tcPr>
            <w:tcW w:w="1191" w:type="dxa"/>
            <w:tcBorders>
              <w:bottom w:val="single" w:sz="4" w:space="0" w:color="auto"/>
            </w:tcBorders>
          </w:tcPr>
          <w:p w14:paraId="3EE2BEFA" w14:textId="77777777" w:rsidR="00280E8B" w:rsidRPr="00315244" w:rsidRDefault="00280E8B" w:rsidP="009C3C7F">
            <w:pPr>
              <w:rPr>
                <w:b/>
                <w:sz w:val="20"/>
                <w:szCs w:val="20"/>
              </w:rPr>
            </w:pPr>
            <w:r w:rsidRPr="00315244">
              <w:rPr>
                <w:b/>
                <w:sz w:val="20"/>
                <w:szCs w:val="20"/>
              </w:rPr>
              <w:t>Community Engagement</w:t>
            </w:r>
          </w:p>
        </w:tc>
      </w:tr>
      <w:tr w:rsidR="00814207" w:rsidRPr="00814207" w14:paraId="54CDC480" w14:textId="77777777" w:rsidTr="00540B7A">
        <w:tc>
          <w:tcPr>
            <w:tcW w:w="2241" w:type="dxa"/>
          </w:tcPr>
          <w:p w14:paraId="33EEAAA5" w14:textId="21D6D63E" w:rsidR="00814207" w:rsidRPr="00814207" w:rsidRDefault="00814207" w:rsidP="00814207">
            <w:r w:rsidRPr="00814207">
              <w:t>United Utilities delivering significant improvements to wastewater treatment over AMP7 (2020-25)</w:t>
            </w:r>
          </w:p>
        </w:tc>
        <w:tc>
          <w:tcPr>
            <w:tcW w:w="1560" w:type="dxa"/>
          </w:tcPr>
          <w:p w14:paraId="661538EE" w14:textId="6B509AD7" w:rsidR="00814207" w:rsidRPr="00814207" w:rsidRDefault="00286121" w:rsidP="00814207">
            <w:r>
              <w:t>All</w:t>
            </w:r>
          </w:p>
        </w:tc>
        <w:tc>
          <w:tcPr>
            <w:tcW w:w="1984" w:type="dxa"/>
          </w:tcPr>
          <w:p w14:paraId="5735FD1E" w14:textId="1E512886" w:rsidR="00814207" w:rsidRPr="00814207" w:rsidRDefault="00286121" w:rsidP="00814207">
            <w:r>
              <w:t>Funded through AMP7</w:t>
            </w:r>
          </w:p>
        </w:tc>
        <w:tc>
          <w:tcPr>
            <w:tcW w:w="1508" w:type="dxa"/>
          </w:tcPr>
          <w:p w14:paraId="4D3C4F00" w14:textId="502D7BE0" w:rsidR="00814207" w:rsidRPr="00814207" w:rsidRDefault="00337D40" w:rsidP="00814207">
            <w:r>
              <w:t>UU</w:t>
            </w:r>
          </w:p>
        </w:tc>
        <w:tc>
          <w:tcPr>
            <w:tcW w:w="2041" w:type="dxa"/>
            <w:tcBorders>
              <w:top w:val="single" w:sz="4" w:space="0" w:color="auto"/>
            </w:tcBorders>
          </w:tcPr>
          <w:p w14:paraId="1DAF8A72" w14:textId="325B594C" w:rsidR="00814207" w:rsidRPr="00814207" w:rsidRDefault="00337D40" w:rsidP="00814207">
            <w:r>
              <w:t>Delivery underway</w:t>
            </w:r>
          </w:p>
        </w:tc>
        <w:tc>
          <w:tcPr>
            <w:tcW w:w="1077" w:type="dxa"/>
            <w:tcBorders>
              <w:top w:val="single" w:sz="4" w:space="0" w:color="auto"/>
              <w:bottom w:val="single" w:sz="4" w:space="0" w:color="auto"/>
            </w:tcBorders>
            <w:vAlign w:val="center"/>
          </w:tcPr>
          <w:p w14:paraId="725EE9EA" w14:textId="6B762C14" w:rsidR="00814207" w:rsidRPr="00814207" w:rsidRDefault="00814207" w:rsidP="00814207">
            <w:pPr>
              <w:jc w:val="center"/>
            </w:pPr>
            <w:r w:rsidRPr="00F27D1E">
              <w:rPr>
                <w:sz w:val="24"/>
                <w:szCs w:val="24"/>
              </w:rPr>
              <w:sym w:font="Wingdings" w:char="F0FC"/>
            </w:r>
          </w:p>
        </w:tc>
        <w:tc>
          <w:tcPr>
            <w:tcW w:w="1077" w:type="dxa"/>
            <w:tcBorders>
              <w:top w:val="single" w:sz="4" w:space="0" w:color="auto"/>
              <w:bottom w:val="single" w:sz="4" w:space="0" w:color="auto"/>
            </w:tcBorders>
            <w:vAlign w:val="center"/>
          </w:tcPr>
          <w:p w14:paraId="3E40A02E" w14:textId="77777777" w:rsidR="00814207" w:rsidRPr="00814207" w:rsidRDefault="00814207" w:rsidP="00814207">
            <w:pPr>
              <w:jc w:val="center"/>
            </w:pPr>
          </w:p>
        </w:tc>
        <w:tc>
          <w:tcPr>
            <w:tcW w:w="1077" w:type="dxa"/>
            <w:tcBorders>
              <w:top w:val="single" w:sz="4" w:space="0" w:color="auto"/>
              <w:bottom w:val="single" w:sz="4" w:space="0" w:color="auto"/>
            </w:tcBorders>
            <w:vAlign w:val="center"/>
          </w:tcPr>
          <w:p w14:paraId="504DED63" w14:textId="77777777" w:rsidR="00814207" w:rsidRPr="00814207" w:rsidRDefault="00814207" w:rsidP="00814207">
            <w:pPr>
              <w:jc w:val="center"/>
            </w:pPr>
          </w:p>
        </w:tc>
        <w:tc>
          <w:tcPr>
            <w:tcW w:w="1134" w:type="dxa"/>
            <w:tcBorders>
              <w:top w:val="single" w:sz="4" w:space="0" w:color="auto"/>
              <w:bottom w:val="single" w:sz="4" w:space="0" w:color="auto"/>
            </w:tcBorders>
            <w:vAlign w:val="center"/>
          </w:tcPr>
          <w:p w14:paraId="5898BF49" w14:textId="77777777" w:rsidR="00814207" w:rsidRPr="00814207" w:rsidRDefault="00814207" w:rsidP="00814207">
            <w:pPr>
              <w:jc w:val="center"/>
            </w:pPr>
          </w:p>
        </w:tc>
        <w:tc>
          <w:tcPr>
            <w:tcW w:w="1191" w:type="dxa"/>
            <w:tcBorders>
              <w:top w:val="single" w:sz="4" w:space="0" w:color="auto"/>
              <w:bottom w:val="single" w:sz="4" w:space="0" w:color="auto"/>
            </w:tcBorders>
            <w:vAlign w:val="center"/>
          </w:tcPr>
          <w:p w14:paraId="76EF48EE" w14:textId="77777777" w:rsidR="00814207" w:rsidRPr="00814207" w:rsidRDefault="00814207" w:rsidP="00814207">
            <w:pPr>
              <w:jc w:val="center"/>
            </w:pPr>
          </w:p>
        </w:tc>
      </w:tr>
      <w:tr w:rsidR="00540B7A" w:rsidRPr="00F27D1E" w14:paraId="134E309E" w14:textId="77777777" w:rsidTr="00540B7A">
        <w:tc>
          <w:tcPr>
            <w:tcW w:w="2241" w:type="dxa"/>
          </w:tcPr>
          <w:p w14:paraId="225D4004" w14:textId="77777777" w:rsidR="00337D40" w:rsidRPr="00F27D1E" w:rsidRDefault="00337D40" w:rsidP="00F70DB9">
            <w:bookmarkStart w:id="3" w:name="_Hlk77250692"/>
            <w:r w:rsidRPr="00F27D1E">
              <w:t>Agriculture – working with farmers on land management</w:t>
            </w:r>
          </w:p>
        </w:tc>
        <w:tc>
          <w:tcPr>
            <w:tcW w:w="1560" w:type="dxa"/>
          </w:tcPr>
          <w:p w14:paraId="6E6DA20E" w14:textId="77777777" w:rsidR="00337D40" w:rsidRPr="00F27D1E" w:rsidRDefault="00337D40" w:rsidP="00F70DB9">
            <w:r w:rsidRPr="00F27D1E">
              <w:t>Sugar Brook</w:t>
            </w:r>
          </w:p>
          <w:p w14:paraId="7EEEF3A9" w14:textId="77777777" w:rsidR="00337D40" w:rsidRPr="00F27D1E" w:rsidRDefault="00337D40" w:rsidP="00F70DB9">
            <w:r w:rsidRPr="00F27D1E">
              <w:t>Mobberley Brook</w:t>
            </w:r>
          </w:p>
        </w:tc>
        <w:tc>
          <w:tcPr>
            <w:tcW w:w="1984" w:type="dxa"/>
          </w:tcPr>
          <w:p w14:paraId="30068EE9" w14:textId="77777777" w:rsidR="00337D40" w:rsidRPr="00F27D1E" w:rsidRDefault="00337D40" w:rsidP="00F70DB9">
            <w:r w:rsidRPr="00F27D1E">
              <w:t xml:space="preserve">Bollin Best Farming Practice project approved for WEIF 2021/22 (£95k) </w:t>
            </w:r>
            <w:r>
              <w:t>for</w:t>
            </w:r>
            <w:r w:rsidRPr="00F27D1E">
              <w:t xml:space="preserve"> Mobberley </w:t>
            </w:r>
            <w:r>
              <w:t xml:space="preserve">Brook &amp; </w:t>
            </w:r>
            <w:r w:rsidRPr="00F27D1E">
              <w:t>Sugar Brook</w:t>
            </w:r>
          </w:p>
          <w:p w14:paraId="06A54582" w14:textId="77777777" w:rsidR="00337D40" w:rsidRPr="00F27D1E" w:rsidRDefault="00337D40" w:rsidP="00F70DB9"/>
        </w:tc>
        <w:tc>
          <w:tcPr>
            <w:tcW w:w="1508" w:type="dxa"/>
          </w:tcPr>
          <w:p w14:paraId="0D683CEF" w14:textId="77777777" w:rsidR="00337D40" w:rsidRPr="00F27D1E" w:rsidRDefault="00337D40" w:rsidP="00F70DB9">
            <w:r w:rsidRPr="00F27D1E">
              <w:t>Cheshire WT, MRT (SP),</w:t>
            </w:r>
          </w:p>
          <w:p w14:paraId="72F652D8" w14:textId="77777777" w:rsidR="00337D40" w:rsidRPr="00F27D1E" w:rsidRDefault="00337D40" w:rsidP="00F70DB9">
            <w:r w:rsidRPr="00F27D1E">
              <w:t>Cheshire Hub partners</w:t>
            </w:r>
          </w:p>
          <w:p w14:paraId="6ED5273F" w14:textId="77777777" w:rsidR="00337D40" w:rsidRPr="00F27D1E" w:rsidRDefault="00337D40" w:rsidP="00F70DB9"/>
        </w:tc>
        <w:tc>
          <w:tcPr>
            <w:tcW w:w="2041" w:type="dxa"/>
          </w:tcPr>
          <w:p w14:paraId="2F785331" w14:textId="01E96F75" w:rsidR="00280E8B" w:rsidRDefault="00280E8B" w:rsidP="00F70DB9">
            <w:r>
              <w:t>Phase 1 completed  by CWT writing farm plans</w:t>
            </w:r>
          </w:p>
          <w:p w14:paraId="3F529C13" w14:textId="40936E08" w:rsidR="00337D40" w:rsidRPr="00F27D1E" w:rsidRDefault="00280E8B" w:rsidP="00280E8B">
            <w:r>
              <w:t xml:space="preserve">Phase 2 - </w:t>
            </w:r>
            <w:r w:rsidR="00BF5611">
              <w:t>MRT deliver</w:t>
            </w:r>
            <w:r>
              <w:t>ing but truncated delivery phase of project means capital works will be small and will not use all of funding available.</w:t>
            </w:r>
            <w:r w:rsidR="00BF5611">
              <w:t xml:space="preserve"> </w:t>
            </w:r>
            <w:r>
              <w:t>Ends March 2022.</w:t>
            </w:r>
          </w:p>
        </w:tc>
        <w:tc>
          <w:tcPr>
            <w:tcW w:w="1077" w:type="dxa"/>
          </w:tcPr>
          <w:p w14:paraId="5F3A52FA" w14:textId="77777777" w:rsidR="00337D40" w:rsidRPr="00F27D1E" w:rsidRDefault="00337D40" w:rsidP="00F70DB9">
            <w:pPr>
              <w:jc w:val="center"/>
              <w:rPr>
                <w:sz w:val="24"/>
                <w:szCs w:val="24"/>
              </w:rPr>
            </w:pPr>
            <w:r w:rsidRPr="00F27D1E">
              <w:rPr>
                <w:sz w:val="24"/>
                <w:szCs w:val="24"/>
              </w:rPr>
              <w:sym w:font="Wingdings" w:char="F0FC"/>
            </w:r>
          </w:p>
        </w:tc>
        <w:tc>
          <w:tcPr>
            <w:tcW w:w="1077" w:type="dxa"/>
          </w:tcPr>
          <w:p w14:paraId="5B8E3C00" w14:textId="77777777" w:rsidR="00337D40" w:rsidRPr="00F27D1E" w:rsidRDefault="00337D40" w:rsidP="00F70DB9">
            <w:pPr>
              <w:jc w:val="center"/>
            </w:pPr>
          </w:p>
        </w:tc>
        <w:tc>
          <w:tcPr>
            <w:tcW w:w="1077" w:type="dxa"/>
          </w:tcPr>
          <w:p w14:paraId="7AA0BD83" w14:textId="77777777" w:rsidR="00337D40" w:rsidRPr="00F27D1E" w:rsidRDefault="00337D40" w:rsidP="00F70DB9">
            <w:pPr>
              <w:jc w:val="center"/>
            </w:pPr>
          </w:p>
        </w:tc>
        <w:tc>
          <w:tcPr>
            <w:tcW w:w="1134" w:type="dxa"/>
          </w:tcPr>
          <w:p w14:paraId="039351EA" w14:textId="77777777" w:rsidR="00337D40" w:rsidRPr="00F27D1E" w:rsidRDefault="00337D40" w:rsidP="00F70DB9">
            <w:pPr>
              <w:jc w:val="center"/>
            </w:pPr>
          </w:p>
        </w:tc>
        <w:tc>
          <w:tcPr>
            <w:tcW w:w="1191" w:type="dxa"/>
          </w:tcPr>
          <w:p w14:paraId="45BA3348" w14:textId="77777777" w:rsidR="00337D40" w:rsidRPr="00F27D1E" w:rsidRDefault="00337D40" w:rsidP="00F70DB9">
            <w:pPr>
              <w:jc w:val="center"/>
            </w:pPr>
          </w:p>
        </w:tc>
      </w:tr>
      <w:bookmarkEnd w:id="3"/>
      <w:tr w:rsidR="003456AD" w14:paraId="7A6ACDC1" w14:textId="77777777" w:rsidTr="00540B7A">
        <w:tc>
          <w:tcPr>
            <w:tcW w:w="2241" w:type="dxa"/>
          </w:tcPr>
          <w:p w14:paraId="3178FEC5" w14:textId="77777777" w:rsidR="003456AD" w:rsidRDefault="003456AD" w:rsidP="00F70DB9">
            <w:r>
              <w:t>Harrop Brook Project - to address reasons for WFD failure of this brook through investigation and analysis of available data</w:t>
            </w:r>
          </w:p>
        </w:tc>
        <w:tc>
          <w:tcPr>
            <w:tcW w:w="1560" w:type="dxa"/>
          </w:tcPr>
          <w:p w14:paraId="09D2A8A2" w14:textId="77777777" w:rsidR="003456AD" w:rsidRDefault="003456AD" w:rsidP="00F70DB9">
            <w:r>
              <w:t>Harrop Brook</w:t>
            </w:r>
          </w:p>
        </w:tc>
        <w:tc>
          <w:tcPr>
            <w:tcW w:w="1984" w:type="dxa"/>
          </w:tcPr>
          <w:p w14:paraId="719BF2E4" w14:textId="77777777" w:rsidR="003456AD" w:rsidRDefault="003456AD" w:rsidP="00F70DB9">
            <w:r>
              <w:t>Unfunded - WEIF bid due to be submitted July 2021</w:t>
            </w:r>
          </w:p>
        </w:tc>
        <w:tc>
          <w:tcPr>
            <w:tcW w:w="1508" w:type="dxa"/>
          </w:tcPr>
          <w:p w14:paraId="06C1FCD5" w14:textId="77777777" w:rsidR="003456AD" w:rsidRDefault="003456AD" w:rsidP="00F70DB9">
            <w:r>
              <w:t>MRT</w:t>
            </w:r>
          </w:p>
          <w:p w14:paraId="50D58D4E" w14:textId="443AFBFB" w:rsidR="003456AD" w:rsidRDefault="00BF5611" w:rsidP="00F70DB9">
            <w:r>
              <w:t>KRIV</w:t>
            </w:r>
          </w:p>
          <w:p w14:paraId="53DA8698" w14:textId="77777777" w:rsidR="00BF5611" w:rsidRDefault="00BF5611" w:rsidP="00F70DB9">
            <w:r>
              <w:t>BVP</w:t>
            </w:r>
          </w:p>
          <w:p w14:paraId="77CFD75B" w14:textId="77777777" w:rsidR="00BF5611" w:rsidRDefault="00BF5611" w:rsidP="00F70DB9">
            <w:r>
              <w:t>CWT</w:t>
            </w:r>
          </w:p>
          <w:p w14:paraId="5B0D2F59" w14:textId="496ACFDE" w:rsidR="00BF5611" w:rsidRDefault="00BF5611" w:rsidP="00F70DB9">
            <w:r>
              <w:t>Local landowners and farmers</w:t>
            </w:r>
          </w:p>
        </w:tc>
        <w:tc>
          <w:tcPr>
            <w:tcW w:w="2041" w:type="dxa"/>
          </w:tcPr>
          <w:p w14:paraId="23DE5D79" w14:textId="77777777" w:rsidR="003456AD" w:rsidRDefault="003456AD" w:rsidP="00F70DB9">
            <w:r>
              <w:t>In development</w:t>
            </w:r>
          </w:p>
        </w:tc>
        <w:tc>
          <w:tcPr>
            <w:tcW w:w="1077" w:type="dxa"/>
          </w:tcPr>
          <w:p w14:paraId="24B4B344" w14:textId="77777777" w:rsidR="003456AD" w:rsidRPr="00262661" w:rsidRDefault="003456AD" w:rsidP="00F70DB9">
            <w:pPr>
              <w:jc w:val="center"/>
              <w:rPr>
                <w:sz w:val="24"/>
                <w:szCs w:val="24"/>
              </w:rPr>
            </w:pPr>
            <w:r w:rsidRPr="00262661">
              <w:rPr>
                <w:sz w:val="24"/>
                <w:szCs w:val="24"/>
              </w:rPr>
              <w:sym w:font="Wingdings" w:char="F0FC"/>
            </w:r>
          </w:p>
        </w:tc>
        <w:tc>
          <w:tcPr>
            <w:tcW w:w="1077" w:type="dxa"/>
          </w:tcPr>
          <w:p w14:paraId="434DF60B" w14:textId="77777777" w:rsidR="003456AD" w:rsidRPr="00262661" w:rsidRDefault="003456AD" w:rsidP="00F70DB9">
            <w:pPr>
              <w:jc w:val="center"/>
              <w:rPr>
                <w:sz w:val="24"/>
                <w:szCs w:val="24"/>
              </w:rPr>
            </w:pPr>
          </w:p>
        </w:tc>
        <w:tc>
          <w:tcPr>
            <w:tcW w:w="1077" w:type="dxa"/>
          </w:tcPr>
          <w:p w14:paraId="20E4E2A2" w14:textId="77777777" w:rsidR="003456AD" w:rsidRPr="00262661" w:rsidRDefault="003456AD" w:rsidP="00F70DB9">
            <w:pPr>
              <w:jc w:val="center"/>
              <w:rPr>
                <w:sz w:val="24"/>
                <w:szCs w:val="24"/>
              </w:rPr>
            </w:pPr>
          </w:p>
        </w:tc>
        <w:tc>
          <w:tcPr>
            <w:tcW w:w="1134" w:type="dxa"/>
          </w:tcPr>
          <w:p w14:paraId="07D72424" w14:textId="77777777" w:rsidR="003456AD" w:rsidRPr="00262661" w:rsidRDefault="003456AD" w:rsidP="00F70DB9">
            <w:pPr>
              <w:jc w:val="center"/>
              <w:rPr>
                <w:sz w:val="24"/>
                <w:szCs w:val="24"/>
              </w:rPr>
            </w:pPr>
          </w:p>
        </w:tc>
        <w:tc>
          <w:tcPr>
            <w:tcW w:w="1191" w:type="dxa"/>
          </w:tcPr>
          <w:p w14:paraId="639230E6" w14:textId="77777777" w:rsidR="003456AD" w:rsidRPr="00262661" w:rsidRDefault="003456AD" w:rsidP="00F70DB9">
            <w:pPr>
              <w:jc w:val="center"/>
              <w:rPr>
                <w:sz w:val="24"/>
                <w:szCs w:val="24"/>
              </w:rPr>
            </w:pPr>
          </w:p>
        </w:tc>
      </w:tr>
    </w:tbl>
    <w:p w14:paraId="7CDC355C" w14:textId="29D5FA08" w:rsidR="00280E8B" w:rsidRDefault="00280E8B"/>
    <w:p w14:paraId="10E5D635" w14:textId="77777777" w:rsidR="00280E8B" w:rsidRDefault="00280E8B">
      <w:r>
        <w:br w:type="page"/>
      </w:r>
    </w:p>
    <w:p w14:paraId="4585673A" w14:textId="77777777" w:rsidR="001208F8" w:rsidRDefault="001208F8"/>
    <w:p w14:paraId="37FE27B1" w14:textId="2C459183" w:rsidR="00D64DF0" w:rsidRDefault="00D64DF0"/>
    <w:tbl>
      <w:tblPr>
        <w:tblStyle w:val="TableGrid"/>
        <w:tblW w:w="14890" w:type="dxa"/>
        <w:tblLayout w:type="fixed"/>
        <w:tblLook w:val="04A0" w:firstRow="1" w:lastRow="0" w:firstColumn="1" w:lastColumn="0" w:noHBand="0" w:noVBand="1"/>
      </w:tblPr>
      <w:tblGrid>
        <w:gridCol w:w="2241"/>
        <w:gridCol w:w="1560"/>
        <w:gridCol w:w="1984"/>
        <w:gridCol w:w="1508"/>
        <w:gridCol w:w="2041"/>
        <w:gridCol w:w="1077"/>
        <w:gridCol w:w="1077"/>
        <w:gridCol w:w="1077"/>
        <w:gridCol w:w="1134"/>
        <w:gridCol w:w="1191"/>
      </w:tblGrid>
      <w:tr w:rsidR="00D64DF0" w:rsidRPr="005A7F07" w14:paraId="65A9161F" w14:textId="77777777" w:rsidTr="001E1743">
        <w:tc>
          <w:tcPr>
            <w:tcW w:w="2241" w:type="dxa"/>
            <w:tcBorders>
              <w:bottom w:val="nil"/>
            </w:tcBorders>
          </w:tcPr>
          <w:p w14:paraId="49FDE574" w14:textId="77777777" w:rsidR="00D64DF0" w:rsidRPr="005A7F07" w:rsidRDefault="00D64DF0" w:rsidP="001E1743">
            <w:pPr>
              <w:rPr>
                <w:b/>
              </w:rPr>
            </w:pPr>
          </w:p>
        </w:tc>
        <w:tc>
          <w:tcPr>
            <w:tcW w:w="1560" w:type="dxa"/>
            <w:tcBorders>
              <w:bottom w:val="nil"/>
            </w:tcBorders>
          </w:tcPr>
          <w:p w14:paraId="2C586C62" w14:textId="77777777" w:rsidR="00D64DF0" w:rsidRPr="005A7F07" w:rsidRDefault="00D64DF0" w:rsidP="001E1743">
            <w:pPr>
              <w:rPr>
                <w:b/>
              </w:rPr>
            </w:pPr>
          </w:p>
        </w:tc>
        <w:tc>
          <w:tcPr>
            <w:tcW w:w="1984" w:type="dxa"/>
            <w:tcBorders>
              <w:bottom w:val="nil"/>
            </w:tcBorders>
          </w:tcPr>
          <w:p w14:paraId="5742ABE4" w14:textId="77777777" w:rsidR="00D64DF0" w:rsidRPr="005A7F07" w:rsidRDefault="00D64DF0" w:rsidP="001E1743">
            <w:pPr>
              <w:rPr>
                <w:b/>
              </w:rPr>
            </w:pPr>
          </w:p>
        </w:tc>
        <w:tc>
          <w:tcPr>
            <w:tcW w:w="1508" w:type="dxa"/>
            <w:tcBorders>
              <w:bottom w:val="nil"/>
            </w:tcBorders>
          </w:tcPr>
          <w:p w14:paraId="33C91DD3" w14:textId="77777777" w:rsidR="00D64DF0" w:rsidRPr="005A7F07" w:rsidRDefault="00D64DF0" w:rsidP="001E1743">
            <w:pPr>
              <w:rPr>
                <w:b/>
              </w:rPr>
            </w:pPr>
          </w:p>
        </w:tc>
        <w:tc>
          <w:tcPr>
            <w:tcW w:w="2041" w:type="dxa"/>
            <w:tcBorders>
              <w:bottom w:val="nil"/>
            </w:tcBorders>
          </w:tcPr>
          <w:p w14:paraId="4589F2E1" w14:textId="77777777" w:rsidR="00D64DF0" w:rsidRDefault="00D64DF0" w:rsidP="001E1743">
            <w:pPr>
              <w:rPr>
                <w:b/>
              </w:rPr>
            </w:pPr>
          </w:p>
        </w:tc>
        <w:tc>
          <w:tcPr>
            <w:tcW w:w="5556" w:type="dxa"/>
            <w:gridSpan w:val="5"/>
            <w:vAlign w:val="center"/>
          </w:tcPr>
          <w:p w14:paraId="583789AA" w14:textId="77777777" w:rsidR="00D64DF0" w:rsidRDefault="00D64DF0" w:rsidP="001E1743">
            <w:pPr>
              <w:jc w:val="center"/>
              <w:rPr>
                <w:b/>
              </w:rPr>
            </w:pPr>
            <w:r>
              <w:rPr>
                <w:b/>
              </w:rPr>
              <w:t>Action Plan Goal</w:t>
            </w:r>
          </w:p>
        </w:tc>
      </w:tr>
      <w:tr w:rsidR="00D64DF0" w:rsidRPr="005A7F07" w14:paraId="3A30FCC5" w14:textId="77777777" w:rsidTr="001E1743">
        <w:tc>
          <w:tcPr>
            <w:tcW w:w="2241" w:type="dxa"/>
            <w:tcBorders>
              <w:top w:val="nil"/>
              <w:bottom w:val="single" w:sz="4" w:space="0" w:color="auto"/>
            </w:tcBorders>
          </w:tcPr>
          <w:p w14:paraId="22C29B86" w14:textId="77777777" w:rsidR="00D64DF0" w:rsidRPr="00262661" w:rsidRDefault="00D64DF0" w:rsidP="001E1743">
            <w:pPr>
              <w:rPr>
                <w:b/>
              </w:rPr>
            </w:pPr>
            <w:r w:rsidRPr="00262661">
              <w:rPr>
                <w:b/>
              </w:rPr>
              <w:t>Project Details</w:t>
            </w:r>
          </w:p>
        </w:tc>
        <w:tc>
          <w:tcPr>
            <w:tcW w:w="1560" w:type="dxa"/>
            <w:tcBorders>
              <w:top w:val="nil"/>
              <w:bottom w:val="single" w:sz="4" w:space="0" w:color="auto"/>
            </w:tcBorders>
          </w:tcPr>
          <w:p w14:paraId="1ED52B9D" w14:textId="77777777" w:rsidR="00D64DF0" w:rsidRPr="005A7F07" w:rsidRDefault="00D64DF0" w:rsidP="001E1743">
            <w:pPr>
              <w:rPr>
                <w:b/>
              </w:rPr>
            </w:pPr>
            <w:r w:rsidRPr="005A7F07">
              <w:rPr>
                <w:b/>
              </w:rPr>
              <w:t>Waterbod</w:t>
            </w:r>
            <w:r>
              <w:rPr>
                <w:b/>
              </w:rPr>
              <w:t>ies</w:t>
            </w:r>
          </w:p>
        </w:tc>
        <w:tc>
          <w:tcPr>
            <w:tcW w:w="1984" w:type="dxa"/>
            <w:tcBorders>
              <w:top w:val="nil"/>
              <w:bottom w:val="single" w:sz="4" w:space="0" w:color="auto"/>
            </w:tcBorders>
          </w:tcPr>
          <w:p w14:paraId="72F6E7E5" w14:textId="77777777" w:rsidR="00D64DF0" w:rsidRPr="005A7F07" w:rsidRDefault="00D64DF0" w:rsidP="001E1743">
            <w:pPr>
              <w:rPr>
                <w:b/>
              </w:rPr>
            </w:pPr>
            <w:r w:rsidRPr="005A7F07">
              <w:rPr>
                <w:b/>
              </w:rPr>
              <w:t>Funded?</w:t>
            </w:r>
          </w:p>
        </w:tc>
        <w:tc>
          <w:tcPr>
            <w:tcW w:w="1508" w:type="dxa"/>
            <w:tcBorders>
              <w:top w:val="nil"/>
              <w:bottom w:val="single" w:sz="4" w:space="0" w:color="auto"/>
            </w:tcBorders>
          </w:tcPr>
          <w:p w14:paraId="052B2F6F" w14:textId="77777777" w:rsidR="00D64DF0" w:rsidRPr="005A7F07" w:rsidRDefault="00D64DF0" w:rsidP="001E1743">
            <w:pPr>
              <w:rPr>
                <w:b/>
              </w:rPr>
            </w:pPr>
            <w:r>
              <w:rPr>
                <w:b/>
              </w:rPr>
              <w:t>Organisation</w:t>
            </w:r>
          </w:p>
        </w:tc>
        <w:tc>
          <w:tcPr>
            <w:tcW w:w="2041" w:type="dxa"/>
            <w:tcBorders>
              <w:top w:val="nil"/>
              <w:bottom w:val="single" w:sz="4" w:space="0" w:color="auto"/>
            </w:tcBorders>
          </w:tcPr>
          <w:p w14:paraId="64C776E2" w14:textId="77777777" w:rsidR="00D64DF0" w:rsidRPr="00315244" w:rsidRDefault="00D64DF0" w:rsidP="001E1743">
            <w:pPr>
              <w:rPr>
                <w:b/>
                <w:sz w:val="20"/>
                <w:szCs w:val="20"/>
              </w:rPr>
            </w:pPr>
            <w:r>
              <w:rPr>
                <w:b/>
                <w:sz w:val="20"/>
                <w:szCs w:val="20"/>
              </w:rPr>
              <w:t>Status/Comment</w:t>
            </w:r>
          </w:p>
        </w:tc>
        <w:tc>
          <w:tcPr>
            <w:tcW w:w="1077" w:type="dxa"/>
            <w:tcBorders>
              <w:bottom w:val="single" w:sz="4" w:space="0" w:color="auto"/>
            </w:tcBorders>
          </w:tcPr>
          <w:p w14:paraId="5328B9D5" w14:textId="77777777" w:rsidR="00D64DF0" w:rsidRPr="00315244" w:rsidRDefault="00D64DF0" w:rsidP="001E1743">
            <w:pPr>
              <w:rPr>
                <w:b/>
                <w:sz w:val="20"/>
                <w:szCs w:val="20"/>
              </w:rPr>
            </w:pPr>
            <w:r w:rsidRPr="00315244">
              <w:rPr>
                <w:b/>
                <w:sz w:val="20"/>
                <w:szCs w:val="20"/>
              </w:rPr>
              <w:t>Water Quality</w:t>
            </w:r>
          </w:p>
        </w:tc>
        <w:tc>
          <w:tcPr>
            <w:tcW w:w="1077" w:type="dxa"/>
            <w:tcBorders>
              <w:bottom w:val="single" w:sz="4" w:space="0" w:color="auto"/>
            </w:tcBorders>
          </w:tcPr>
          <w:p w14:paraId="5C6DF246" w14:textId="77777777" w:rsidR="00D64DF0" w:rsidRPr="00315244" w:rsidRDefault="00D64DF0" w:rsidP="001E1743">
            <w:pPr>
              <w:rPr>
                <w:b/>
                <w:sz w:val="20"/>
                <w:szCs w:val="20"/>
              </w:rPr>
            </w:pPr>
            <w:r w:rsidRPr="00315244">
              <w:rPr>
                <w:b/>
                <w:sz w:val="20"/>
                <w:szCs w:val="20"/>
              </w:rPr>
              <w:t>Flood Risk</w:t>
            </w:r>
          </w:p>
        </w:tc>
        <w:tc>
          <w:tcPr>
            <w:tcW w:w="1077" w:type="dxa"/>
            <w:tcBorders>
              <w:bottom w:val="single" w:sz="4" w:space="0" w:color="auto"/>
            </w:tcBorders>
          </w:tcPr>
          <w:p w14:paraId="00F455BA" w14:textId="77777777" w:rsidR="00D64DF0" w:rsidRPr="00315244" w:rsidRDefault="00D64DF0" w:rsidP="001E1743">
            <w:pPr>
              <w:rPr>
                <w:b/>
                <w:sz w:val="20"/>
                <w:szCs w:val="20"/>
              </w:rPr>
            </w:pPr>
            <w:r w:rsidRPr="00315244">
              <w:rPr>
                <w:b/>
                <w:sz w:val="20"/>
                <w:szCs w:val="20"/>
              </w:rPr>
              <w:t>Biodiversity &amp; Ecology</w:t>
            </w:r>
          </w:p>
        </w:tc>
        <w:tc>
          <w:tcPr>
            <w:tcW w:w="1134" w:type="dxa"/>
            <w:tcBorders>
              <w:bottom w:val="single" w:sz="4" w:space="0" w:color="auto"/>
            </w:tcBorders>
          </w:tcPr>
          <w:p w14:paraId="3889826F" w14:textId="77777777" w:rsidR="00D64DF0" w:rsidRPr="00315244" w:rsidRDefault="00D64DF0" w:rsidP="001E1743">
            <w:pPr>
              <w:rPr>
                <w:b/>
                <w:sz w:val="20"/>
                <w:szCs w:val="20"/>
              </w:rPr>
            </w:pPr>
            <w:r w:rsidRPr="00315244">
              <w:rPr>
                <w:b/>
                <w:sz w:val="20"/>
                <w:szCs w:val="20"/>
              </w:rPr>
              <w:t>Recreatio</w:t>
            </w:r>
            <w:r>
              <w:rPr>
                <w:b/>
                <w:sz w:val="20"/>
                <w:szCs w:val="20"/>
              </w:rPr>
              <w:t>n</w:t>
            </w:r>
            <w:r w:rsidRPr="00315244">
              <w:rPr>
                <w:b/>
                <w:sz w:val="20"/>
                <w:szCs w:val="20"/>
              </w:rPr>
              <w:t>, Leisure &amp; Landscape</w:t>
            </w:r>
          </w:p>
        </w:tc>
        <w:tc>
          <w:tcPr>
            <w:tcW w:w="1191" w:type="dxa"/>
            <w:tcBorders>
              <w:bottom w:val="single" w:sz="4" w:space="0" w:color="auto"/>
            </w:tcBorders>
          </w:tcPr>
          <w:p w14:paraId="0E5DA935" w14:textId="77777777" w:rsidR="00D64DF0" w:rsidRPr="00315244" w:rsidRDefault="00D64DF0" w:rsidP="001E1743">
            <w:pPr>
              <w:rPr>
                <w:b/>
                <w:sz w:val="20"/>
                <w:szCs w:val="20"/>
              </w:rPr>
            </w:pPr>
            <w:r w:rsidRPr="00315244">
              <w:rPr>
                <w:b/>
                <w:sz w:val="20"/>
                <w:szCs w:val="20"/>
              </w:rPr>
              <w:t>Community Engagement</w:t>
            </w:r>
          </w:p>
        </w:tc>
      </w:tr>
      <w:tr w:rsidR="001A3D7C" w:rsidRPr="0034194B" w14:paraId="5A740703" w14:textId="77777777" w:rsidTr="001E1743">
        <w:tc>
          <w:tcPr>
            <w:tcW w:w="2241" w:type="dxa"/>
            <w:tcBorders>
              <w:top w:val="single" w:sz="4" w:space="0" w:color="auto"/>
              <w:bottom w:val="single" w:sz="4" w:space="0" w:color="auto"/>
            </w:tcBorders>
          </w:tcPr>
          <w:p w14:paraId="045DD2FC" w14:textId="32A6B400" w:rsidR="001A3D7C" w:rsidRPr="00262661" w:rsidRDefault="001A3D7C" w:rsidP="001A3D7C">
            <w:r>
              <w:t>Wilmslow Park Weir Removal</w:t>
            </w:r>
          </w:p>
        </w:tc>
        <w:tc>
          <w:tcPr>
            <w:tcW w:w="1560" w:type="dxa"/>
            <w:tcBorders>
              <w:top w:val="single" w:sz="4" w:space="0" w:color="auto"/>
              <w:bottom w:val="single" w:sz="4" w:space="0" w:color="auto"/>
            </w:tcBorders>
          </w:tcPr>
          <w:p w14:paraId="1E73B09E" w14:textId="02F1281E" w:rsidR="001A3D7C" w:rsidRPr="0034194B" w:rsidRDefault="001A3D7C" w:rsidP="001A3D7C">
            <w:r>
              <w:t>Bollin (Source to Dean)</w:t>
            </w:r>
          </w:p>
        </w:tc>
        <w:tc>
          <w:tcPr>
            <w:tcW w:w="1984" w:type="dxa"/>
            <w:tcBorders>
              <w:top w:val="single" w:sz="4" w:space="0" w:color="auto"/>
              <w:bottom w:val="single" w:sz="4" w:space="0" w:color="auto"/>
            </w:tcBorders>
          </w:tcPr>
          <w:p w14:paraId="574B512C" w14:textId="282A74DD" w:rsidR="001A3D7C" w:rsidRPr="0034194B" w:rsidRDefault="001A3D7C" w:rsidP="001A3D7C">
            <w:r>
              <w:t>Unfunded – bid to WEIF unsucc</w:t>
            </w:r>
            <w:r w:rsidR="00405074">
              <w:t>essful</w:t>
            </w:r>
          </w:p>
        </w:tc>
        <w:tc>
          <w:tcPr>
            <w:tcW w:w="1508" w:type="dxa"/>
            <w:tcBorders>
              <w:top w:val="single" w:sz="4" w:space="0" w:color="auto"/>
              <w:bottom w:val="single" w:sz="4" w:space="0" w:color="auto"/>
            </w:tcBorders>
          </w:tcPr>
          <w:p w14:paraId="6AE6144F" w14:textId="31725CF7" w:rsidR="001A3D7C" w:rsidRPr="0034194B" w:rsidRDefault="00405074" w:rsidP="001A3D7C">
            <w:r>
              <w:t>Cheshire East Council</w:t>
            </w:r>
          </w:p>
        </w:tc>
        <w:tc>
          <w:tcPr>
            <w:tcW w:w="2041" w:type="dxa"/>
            <w:tcBorders>
              <w:top w:val="single" w:sz="4" w:space="0" w:color="auto"/>
              <w:bottom w:val="single" w:sz="4" w:space="0" w:color="auto"/>
            </w:tcBorders>
          </w:tcPr>
          <w:p w14:paraId="17A610DD" w14:textId="3ACEF4C5" w:rsidR="001A3D7C" w:rsidRPr="0034194B" w:rsidRDefault="001A3D7C" w:rsidP="001A3D7C">
            <w:pPr>
              <w:rPr>
                <w:sz w:val="20"/>
                <w:szCs w:val="20"/>
              </w:rPr>
            </w:pPr>
          </w:p>
        </w:tc>
        <w:tc>
          <w:tcPr>
            <w:tcW w:w="1077" w:type="dxa"/>
            <w:tcBorders>
              <w:bottom w:val="single" w:sz="4" w:space="0" w:color="auto"/>
            </w:tcBorders>
            <w:vAlign w:val="center"/>
          </w:tcPr>
          <w:p w14:paraId="58E1B2FE" w14:textId="3CAF950E" w:rsidR="001A3D7C" w:rsidRPr="00262661" w:rsidRDefault="001A3D7C" w:rsidP="001A3D7C">
            <w:pPr>
              <w:jc w:val="center"/>
              <w:rPr>
                <w:sz w:val="24"/>
                <w:szCs w:val="24"/>
              </w:rPr>
            </w:pPr>
          </w:p>
        </w:tc>
        <w:tc>
          <w:tcPr>
            <w:tcW w:w="1077" w:type="dxa"/>
            <w:tcBorders>
              <w:bottom w:val="single" w:sz="4" w:space="0" w:color="auto"/>
            </w:tcBorders>
            <w:vAlign w:val="center"/>
          </w:tcPr>
          <w:p w14:paraId="659CA9C4" w14:textId="77777777" w:rsidR="001A3D7C" w:rsidRPr="00262661" w:rsidRDefault="001A3D7C" w:rsidP="001A3D7C">
            <w:pPr>
              <w:jc w:val="center"/>
              <w:rPr>
                <w:sz w:val="24"/>
                <w:szCs w:val="24"/>
              </w:rPr>
            </w:pPr>
          </w:p>
        </w:tc>
        <w:tc>
          <w:tcPr>
            <w:tcW w:w="1077" w:type="dxa"/>
            <w:tcBorders>
              <w:bottom w:val="single" w:sz="4" w:space="0" w:color="auto"/>
            </w:tcBorders>
            <w:vAlign w:val="center"/>
          </w:tcPr>
          <w:p w14:paraId="4629A8D5" w14:textId="260598F6" w:rsidR="001A3D7C" w:rsidRPr="00262661" w:rsidRDefault="001A3D7C" w:rsidP="001A3D7C">
            <w:pPr>
              <w:jc w:val="center"/>
              <w:rPr>
                <w:sz w:val="24"/>
                <w:szCs w:val="24"/>
              </w:rPr>
            </w:pPr>
            <w:r w:rsidRPr="00262661">
              <w:rPr>
                <w:sz w:val="24"/>
                <w:szCs w:val="24"/>
              </w:rPr>
              <w:sym w:font="Wingdings" w:char="F0FC"/>
            </w:r>
          </w:p>
        </w:tc>
        <w:tc>
          <w:tcPr>
            <w:tcW w:w="1134" w:type="dxa"/>
            <w:tcBorders>
              <w:bottom w:val="single" w:sz="4" w:space="0" w:color="auto"/>
            </w:tcBorders>
            <w:vAlign w:val="center"/>
          </w:tcPr>
          <w:p w14:paraId="473ECB0B" w14:textId="77777777" w:rsidR="001A3D7C" w:rsidRPr="00262661" w:rsidRDefault="001A3D7C" w:rsidP="001A3D7C">
            <w:pPr>
              <w:jc w:val="center"/>
              <w:rPr>
                <w:sz w:val="24"/>
                <w:szCs w:val="24"/>
              </w:rPr>
            </w:pPr>
          </w:p>
        </w:tc>
        <w:tc>
          <w:tcPr>
            <w:tcW w:w="1191" w:type="dxa"/>
            <w:tcBorders>
              <w:bottom w:val="single" w:sz="4" w:space="0" w:color="auto"/>
            </w:tcBorders>
            <w:vAlign w:val="center"/>
          </w:tcPr>
          <w:p w14:paraId="4F0052C4" w14:textId="77777777" w:rsidR="001A3D7C" w:rsidRPr="00262661" w:rsidRDefault="001A3D7C" w:rsidP="001A3D7C">
            <w:pPr>
              <w:jc w:val="center"/>
              <w:rPr>
                <w:sz w:val="24"/>
                <w:szCs w:val="24"/>
              </w:rPr>
            </w:pPr>
          </w:p>
        </w:tc>
      </w:tr>
      <w:tr w:rsidR="00FB280B" w:rsidRPr="0034194B" w14:paraId="73C72B24" w14:textId="77777777" w:rsidTr="00A970C6">
        <w:tc>
          <w:tcPr>
            <w:tcW w:w="2241" w:type="dxa"/>
          </w:tcPr>
          <w:p w14:paraId="303DE7D1" w14:textId="595F9338" w:rsidR="00FB280B" w:rsidRPr="00F07601" w:rsidRDefault="00FB280B" w:rsidP="00FB280B">
            <w:r w:rsidRPr="00F07601">
              <w:rPr>
                <w:rFonts w:cstheme="minorHAnsi"/>
                <w:bdr w:val="none" w:sz="0" w:space="0" w:color="auto" w:frame="1"/>
                <w:shd w:val="clear" w:color="auto" w:fill="FFFFFF"/>
                <w:lang w:val="en"/>
              </w:rPr>
              <w:t>Doubling Nature Investment Readiness Project (Cheshire) -establishing a place based investment vehicle to improve the Bollin catchment through increased tree cover and improvements to heathland, bog and wet grassland</w:t>
            </w:r>
          </w:p>
        </w:tc>
        <w:tc>
          <w:tcPr>
            <w:tcW w:w="1560" w:type="dxa"/>
          </w:tcPr>
          <w:p w14:paraId="51F2FBB7" w14:textId="5BFF2F08" w:rsidR="00FB280B" w:rsidRPr="0034194B" w:rsidRDefault="00FB280B" w:rsidP="00FB280B">
            <w:r>
              <w:t>All(?)</w:t>
            </w:r>
          </w:p>
        </w:tc>
        <w:tc>
          <w:tcPr>
            <w:tcW w:w="1984" w:type="dxa"/>
          </w:tcPr>
          <w:p w14:paraId="17C5DF51" w14:textId="77777777" w:rsidR="00FB280B" w:rsidRDefault="00FB280B" w:rsidP="00FB280B">
            <w:r>
              <w:t>Secured £96,000</w:t>
            </w:r>
          </w:p>
          <w:p w14:paraId="7470CE3B" w14:textId="6C0FACE9" w:rsidR="00FB280B" w:rsidRPr="0034194B" w:rsidRDefault="001F15C6" w:rsidP="00FB280B">
            <w:r>
              <w:t>f</w:t>
            </w:r>
            <w:r w:rsidR="00FB280B">
              <w:t>rom n</w:t>
            </w:r>
            <w:r w:rsidR="00FB280B" w:rsidRPr="005A0FF6">
              <w:t>ew £10 million fund to drive private sector investment in nature</w:t>
            </w:r>
            <w:r w:rsidR="00FB280B">
              <w:t xml:space="preserve"> in England,</w:t>
            </w:r>
            <w:r w:rsidR="00FB280B" w:rsidRPr="001318F4">
              <w:t xml:space="preserve"> awarded to 27 projects</w:t>
            </w:r>
          </w:p>
        </w:tc>
        <w:tc>
          <w:tcPr>
            <w:tcW w:w="1508" w:type="dxa"/>
          </w:tcPr>
          <w:p w14:paraId="17A30C95" w14:textId="00FD33E6" w:rsidR="00FB280B" w:rsidRPr="0034194B" w:rsidRDefault="000B52CF" w:rsidP="00FB280B">
            <w:r>
              <w:t>Bollin Valley Group</w:t>
            </w:r>
            <w:r w:rsidR="00454977">
              <w:t xml:space="preserve"> (</w:t>
            </w:r>
            <w:r w:rsidR="00FB280B">
              <w:t>Mersey Forest</w:t>
            </w:r>
            <w:r w:rsidR="00454977">
              <w:t>)</w:t>
            </w:r>
          </w:p>
        </w:tc>
        <w:tc>
          <w:tcPr>
            <w:tcW w:w="2041" w:type="dxa"/>
            <w:tcBorders>
              <w:top w:val="single" w:sz="4" w:space="0" w:color="auto"/>
              <w:bottom w:val="single" w:sz="4" w:space="0" w:color="auto"/>
            </w:tcBorders>
          </w:tcPr>
          <w:p w14:paraId="65267F1A" w14:textId="3DCFEBD7" w:rsidR="00FB280B" w:rsidRPr="00591AD4" w:rsidRDefault="00280E8B" w:rsidP="000F1D98">
            <w:r>
              <w:t>Ongoing – prospectus of projects currently being developed by partners and</w:t>
            </w:r>
            <w:r w:rsidR="000F1D98">
              <w:t xml:space="preserve"> media</w:t>
            </w:r>
            <w:r>
              <w:t xml:space="preserve"> designer.</w:t>
            </w:r>
          </w:p>
        </w:tc>
        <w:tc>
          <w:tcPr>
            <w:tcW w:w="1077" w:type="dxa"/>
            <w:tcBorders>
              <w:top w:val="single" w:sz="4" w:space="0" w:color="auto"/>
              <w:bottom w:val="single" w:sz="4" w:space="0" w:color="auto"/>
            </w:tcBorders>
          </w:tcPr>
          <w:p w14:paraId="10E6F385" w14:textId="2A7FFD02" w:rsidR="00FB280B" w:rsidRPr="00262661" w:rsidRDefault="00FB280B" w:rsidP="00FB280B">
            <w:pPr>
              <w:jc w:val="center"/>
              <w:rPr>
                <w:sz w:val="24"/>
                <w:szCs w:val="24"/>
              </w:rPr>
            </w:pPr>
          </w:p>
        </w:tc>
        <w:tc>
          <w:tcPr>
            <w:tcW w:w="1077" w:type="dxa"/>
            <w:tcBorders>
              <w:top w:val="single" w:sz="4" w:space="0" w:color="auto"/>
              <w:bottom w:val="single" w:sz="4" w:space="0" w:color="auto"/>
            </w:tcBorders>
          </w:tcPr>
          <w:p w14:paraId="0718FE73" w14:textId="77777777" w:rsidR="00FB280B" w:rsidRPr="00262661" w:rsidRDefault="00FB280B" w:rsidP="00FB280B">
            <w:pPr>
              <w:jc w:val="center"/>
              <w:rPr>
                <w:sz w:val="24"/>
                <w:szCs w:val="24"/>
              </w:rPr>
            </w:pPr>
          </w:p>
        </w:tc>
        <w:tc>
          <w:tcPr>
            <w:tcW w:w="1077" w:type="dxa"/>
            <w:tcBorders>
              <w:top w:val="single" w:sz="4" w:space="0" w:color="auto"/>
              <w:bottom w:val="single" w:sz="4" w:space="0" w:color="auto"/>
            </w:tcBorders>
          </w:tcPr>
          <w:p w14:paraId="64E6400A" w14:textId="47F6DC59" w:rsidR="00FB280B" w:rsidRPr="00262661" w:rsidRDefault="00FB280B" w:rsidP="00FB280B">
            <w:pPr>
              <w:jc w:val="center"/>
              <w:rPr>
                <w:sz w:val="24"/>
                <w:szCs w:val="24"/>
              </w:rPr>
            </w:pPr>
            <w:r w:rsidRPr="00262661">
              <w:rPr>
                <w:sz w:val="24"/>
                <w:szCs w:val="24"/>
              </w:rPr>
              <w:sym w:font="Wingdings" w:char="F0FC"/>
            </w:r>
          </w:p>
        </w:tc>
        <w:tc>
          <w:tcPr>
            <w:tcW w:w="1134" w:type="dxa"/>
            <w:tcBorders>
              <w:top w:val="single" w:sz="4" w:space="0" w:color="auto"/>
              <w:bottom w:val="single" w:sz="4" w:space="0" w:color="auto"/>
            </w:tcBorders>
          </w:tcPr>
          <w:p w14:paraId="7033BDA9" w14:textId="77777777" w:rsidR="00FB280B" w:rsidRPr="00262661" w:rsidRDefault="00FB280B" w:rsidP="00FB280B">
            <w:pPr>
              <w:jc w:val="center"/>
              <w:rPr>
                <w:sz w:val="24"/>
                <w:szCs w:val="24"/>
              </w:rPr>
            </w:pPr>
          </w:p>
        </w:tc>
        <w:tc>
          <w:tcPr>
            <w:tcW w:w="1191" w:type="dxa"/>
            <w:tcBorders>
              <w:top w:val="single" w:sz="4" w:space="0" w:color="auto"/>
              <w:bottom w:val="single" w:sz="4" w:space="0" w:color="auto"/>
            </w:tcBorders>
          </w:tcPr>
          <w:p w14:paraId="0BFFEA2B" w14:textId="77777777" w:rsidR="00FB280B" w:rsidRPr="00262661" w:rsidRDefault="00FB280B" w:rsidP="00FB280B">
            <w:pPr>
              <w:jc w:val="center"/>
              <w:rPr>
                <w:sz w:val="24"/>
                <w:szCs w:val="24"/>
              </w:rPr>
            </w:pPr>
          </w:p>
        </w:tc>
      </w:tr>
      <w:tr w:rsidR="0036294A" w:rsidRPr="0034194B" w14:paraId="52379B9D" w14:textId="77777777" w:rsidTr="00A970C6">
        <w:tc>
          <w:tcPr>
            <w:tcW w:w="2241" w:type="dxa"/>
          </w:tcPr>
          <w:p w14:paraId="1A2CAEE8" w14:textId="7166228A" w:rsidR="0036294A" w:rsidRPr="00F07601" w:rsidRDefault="0036294A" w:rsidP="00FB280B">
            <w:pPr>
              <w:rPr>
                <w:rFonts w:cstheme="minorHAnsi"/>
                <w:bdr w:val="none" w:sz="0" w:space="0" w:color="auto" w:frame="1"/>
                <w:shd w:val="clear" w:color="auto" w:fill="FFFFFF"/>
                <w:lang w:val="en"/>
              </w:rPr>
            </w:pPr>
            <w:r>
              <w:rPr>
                <w:rFonts w:cstheme="minorHAnsi"/>
                <w:bdr w:val="none" w:sz="0" w:space="0" w:color="auto" w:frame="1"/>
                <w:shd w:val="clear" w:color="auto" w:fill="FFFFFF"/>
                <w:lang w:val="en"/>
              </w:rPr>
              <w:t>Citizen Science</w:t>
            </w:r>
            <w:r w:rsidR="00F20913">
              <w:rPr>
                <w:rFonts w:cstheme="minorHAnsi"/>
                <w:bdr w:val="none" w:sz="0" w:space="0" w:color="auto" w:frame="1"/>
                <w:shd w:val="clear" w:color="auto" w:fill="FFFFFF"/>
                <w:lang w:val="en"/>
              </w:rPr>
              <w:t xml:space="preserve"> development</w:t>
            </w:r>
          </w:p>
        </w:tc>
        <w:tc>
          <w:tcPr>
            <w:tcW w:w="1560" w:type="dxa"/>
          </w:tcPr>
          <w:p w14:paraId="3F3ECAAE" w14:textId="77777777" w:rsidR="0036294A" w:rsidRDefault="0036294A" w:rsidP="00FB280B"/>
        </w:tc>
        <w:tc>
          <w:tcPr>
            <w:tcW w:w="1984" w:type="dxa"/>
          </w:tcPr>
          <w:p w14:paraId="66F24B3A" w14:textId="048EBD33" w:rsidR="0036294A" w:rsidRDefault="000F1D98" w:rsidP="00FB280B">
            <w:r>
              <w:t>Ofwat and Natural Course</w:t>
            </w:r>
          </w:p>
        </w:tc>
        <w:tc>
          <w:tcPr>
            <w:tcW w:w="1508" w:type="dxa"/>
          </w:tcPr>
          <w:p w14:paraId="783CDDFD" w14:textId="64216607" w:rsidR="0036294A" w:rsidRDefault="000F1D98" w:rsidP="00FB280B">
            <w:r>
              <w:t>EA, UU, River Trust (nationally), volunteers</w:t>
            </w:r>
          </w:p>
        </w:tc>
        <w:tc>
          <w:tcPr>
            <w:tcW w:w="2041" w:type="dxa"/>
            <w:tcBorders>
              <w:top w:val="single" w:sz="4" w:space="0" w:color="auto"/>
              <w:bottom w:val="single" w:sz="4" w:space="0" w:color="auto"/>
            </w:tcBorders>
          </w:tcPr>
          <w:p w14:paraId="7D875DA1" w14:textId="0CBE337B" w:rsidR="0036294A" w:rsidRDefault="000F1D98" w:rsidP="00FB280B">
            <w:r>
              <w:t xml:space="preserve">Ongoing - </w:t>
            </w:r>
            <w:r w:rsidR="00FF2F38">
              <w:t>EA</w:t>
            </w:r>
            <w:r w:rsidR="003048DB">
              <w:t xml:space="preserve"> undertaking survey</w:t>
            </w:r>
            <w:r w:rsidR="003574FF">
              <w:t xml:space="preserve"> </w:t>
            </w:r>
            <w:r w:rsidR="00F20913">
              <w:t>&amp;</w:t>
            </w:r>
            <w:r w:rsidR="003048DB">
              <w:t xml:space="preserve"> hosting meeting with Rivers Trust</w:t>
            </w:r>
            <w:r w:rsidR="008D19F5">
              <w:t xml:space="preserve"> </w:t>
            </w:r>
            <w:r w:rsidR="00C11FC4">
              <w:t xml:space="preserve">Catchment </w:t>
            </w:r>
            <w:r w:rsidR="008D19F5">
              <w:t>Monitoring Co-operative proposal</w:t>
            </w:r>
          </w:p>
          <w:p w14:paraId="521D1EA8" w14:textId="1B904803" w:rsidR="000F1D98" w:rsidRPr="00591AD4" w:rsidRDefault="000F1D98" w:rsidP="00FB280B">
            <w:r>
              <w:t>Links to citizen science project to develop offer and analyse data at MRT/Upper Mersey.</w:t>
            </w:r>
          </w:p>
        </w:tc>
        <w:tc>
          <w:tcPr>
            <w:tcW w:w="1077" w:type="dxa"/>
            <w:tcBorders>
              <w:top w:val="single" w:sz="4" w:space="0" w:color="auto"/>
              <w:bottom w:val="single" w:sz="4" w:space="0" w:color="auto"/>
            </w:tcBorders>
          </w:tcPr>
          <w:p w14:paraId="422DF4AA" w14:textId="0159BC44" w:rsidR="0036294A" w:rsidRPr="00262661" w:rsidRDefault="00FF2F38" w:rsidP="00FB280B">
            <w:pPr>
              <w:jc w:val="center"/>
              <w:rPr>
                <w:sz w:val="24"/>
                <w:szCs w:val="24"/>
              </w:rPr>
            </w:pPr>
            <w:r w:rsidRPr="00262661">
              <w:rPr>
                <w:sz w:val="24"/>
                <w:szCs w:val="24"/>
              </w:rPr>
              <w:sym w:font="Wingdings" w:char="F0FC"/>
            </w:r>
          </w:p>
        </w:tc>
        <w:tc>
          <w:tcPr>
            <w:tcW w:w="1077" w:type="dxa"/>
            <w:tcBorders>
              <w:top w:val="single" w:sz="4" w:space="0" w:color="auto"/>
              <w:bottom w:val="single" w:sz="4" w:space="0" w:color="auto"/>
            </w:tcBorders>
          </w:tcPr>
          <w:p w14:paraId="780FEB3B" w14:textId="77777777" w:rsidR="0036294A" w:rsidRPr="00262661" w:rsidRDefault="0036294A" w:rsidP="00FB280B">
            <w:pPr>
              <w:jc w:val="center"/>
              <w:rPr>
                <w:sz w:val="24"/>
                <w:szCs w:val="24"/>
              </w:rPr>
            </w:pPr>
          </w:p>
        </w:tc>
        <w:tc>
          <w:tcPr>
            <w:tcW w:w="1077" w:type="dxa"/>
            <w:tcBorders>
              <w:top w:val="single" w:sz="4" w:space="0" w:color="auto"/>
              <w:bottom w:val="single" w:sz="4" w:space="0" w:color="auto"/>
            </w:tcBorders>
          </w:tcPr>
          <w:p w14:paraId="15C02F98" w14:textId="1F7DE39A" w:rsidR="0036294A" w:rsidRPr="00262661" w:rsidRDefault="00FF2F38" w:rsidP="00FB280B">
            <w:pPr>
              <w:jc w:val="center"/>
              <w:rPr>
                <w:sz w:val="24"/>
                <w:szCs w:val="24"/>
              </w:rPr>
            </w:pPr>
            <w:r w:rsidRPr="00262661">
              <w:rPr>
                <w:sz w:val="24"/>
                <w:szCs w:val="24"/>
              </w:rPr>
              <w:sym w:font="Wingdings" w:char="F0FC"/>
            </w:r>
          </w:p>
        </w:tc>
        <w:tc>
          <w:tcPr>
            <w:tcW w:w="1134" w:type="dxa"/>
            <w:tcBorders>
              <w:top w:val="single" w:sz="4" w:space="0" w:color="auto"/>
              <w:bottom w:val="single" w:sz="4" w:space="0" w:color="auto"/>
            </w:tcBorders>
          </w:tcPr>
          <w:p w14:paraId="08EEA91F" w14:textId="77777777" w:rsidR="0036294A" w:rsidRPr="00262661" w:rsidRDefault="0036294A" w:rsidP="00FB280B">
            <w:pPr>
              <w:jc w:val="center"/>
              <w:rPr>
                <w:sz w:val="24"/>
                <w:szCs w:val="24"/>
              </w:rPr>
            </w:pPr>
          </w:p>
        </w:tc>
        <w:tc>
          <w:tcPr>
            <w:tcW w:w="1191" w:type="dxa"/>
            <w:tcBorders>
              <w:top w:val="single" w:sz="4" w:space="0" w:color="auto"/>
              <w:bottom w:val="single" w:sz="4" w:space="0" w:color="auto"/>
            </w:tcBorders>
          </w:tcPr>
          <w:p w14:paraId="46DAC801" w14:textId="0C23DBEE" w:rsidR="0036294A" w:rsidRPr="00262661" w:rsidRDefault="00FF2F38" w:rsidP="00FB280B">
            <w:pPr>
              <w:jc w:val="center"/>
              <w:rPr>
                <w:sz w:val="24"/>
                <w:szCs w:val="24"/>
              </w:rPr>
            </w:pPr>
            <w:r w:rsidRPr="00262661">
              <w:rPr>
                <w:sz w:val="24"/>
                <w:szCs w:val="24"/>
              </w:rPr>
              <w:sym w:font="Wingdings" w:char="F0FC"/>
            </w:r>
          </w:p>
        </w:tc>
      </w:tr>
    </w:tbl>
    <w:p w14:paraId="03EC0AC3" w14:textId="77777777" w:rsidR="00D64DF0" w:rsidRDefault="00D64DF0"/>
    <w:sectPr w:rsidR="00D64DF0" w:rsidSect="00C358BE">
      <w:headerReference w:type="default" r:id="rId7"/>
      <w:pgSz w:w="16838" w:h="11906" w:orient="landscape"/>
      <w:pgMar w:top="425" w:right="1106" w:bottom="709" w:left="992"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CA6AA" w14:textId="77777777" w:rsidR="00EB1853" w:rsidRDefault="00EB1853" w:rsidP="004010BA">
      <w:pPr>
        <w:spacing w:after="0" w:line="240" w:lineRule="auto"/>
      </w:pPr>
      <w:r>
        <w:separator/>
      </w:r>
    </w:p>
  </w:endnote>
  <w:endnote w:type="continuationSeparator" w:id="0">
    <w:p w14:paraId="478DBFE0" w14:textId="77777777" w:rsidR="00EB1853" w:rsidRDefault="00EB1853" w:rsidP="00401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281AC" w14:textId="77777777" w:rsidR="00EB1853" w:rsidRDefault="00EB1853" w:rsidP="004010BA">
      <w:pPr>
        <w:spacing w:after="0" w:line="240" w:lineRule="auto"/>
      </w:pPr>
      <w:r>
        <w:separator/>
      </w:r>
    </w:p>
  </w:footnote>
  <w:footnote w:type="continuationSeparator" w:id="0">
    <w:p w14:paraId="3F319622" w14:textId="77777777" w:rsidR="00EB1853" w:rsidRDefault="00EB1853" w:rsidP="004010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737DA" w14:textId="733054BE" w:rsidR="004010BA" w:rsidRDefault="00F4271A" w:rsidP="00987AB8">
    <w:pPr>
      <w:pStyle w:val="Header"/>
      <w:jc w:val="right"/>
    </w:pPr>
    <w:r>
      <w:t>`</w:t>
    </w:r>
    <w:sdt>
      <w:sdtPr>
        <w:id w:val="98381352"/>
        <w:docPartObj>
          <w:docPartGallery w:val="Page Numbers (Top of Page)"/>
          <w:docPartUnique/>
        </w:docPartObj>
      </w:sdtPr>
      <w:sdtEndPr/>
      <w:sdtContent>
        <w:r w:rsidR="004010BA">
          <w:t xml:space="preserve">Page </w:t>
        </w:r>
        <w:r w:rsidR="004010BA">
          <w:rPr>
            <w:b/>
            <w:bCs/>
            <w:sz w:val="24"/>
            <w:szCs w:val="24"/>
          </w:rPr>
          <w:fldChar w:fldCharType="begin"/>
        </w:r>
        <w:r w:rsidR="004010BA">
          <w:rPr>
            <w:b/>
            <w:bCs/>
          </w:rPr>
          <w:instrText xml:space="preserve"> PAGE </w:instrText>
        </w:r>
        <w:r w:rsidR="004010BA">
          <w:rPr>
            <w:b/>
            <w:bCs/>
            <w:sz w:val="24"/>
            <w:szCs w:val="24"/>
          </w:rPr>
          <w:fldChar w:fldCharType="separate"/>
        </w:r>
        <w:r w:rsidR="000F1D98">
          <w:rPr>
            <w:b/>
            <w:bCs/>
            <w:noProof/>
          </w:rPr>
          <w:t>2</w:t>
        </w:r>
        <w:r w:rsidR="004010BA">
          <w:rPr>
            <w:b/>
            <w:bCs/>
            <w:sz w:val="24"/>
            <w:szCs w:val="24"/>
          </w:rPr>
          <w:fldChar w:fldCharType="end"/>
        </w:r>
        <w:r w:rsidR="004010BA">
          <w:t xml:space="preserve"> of </w:t>
        </w:r>
        <w:r w:rsidR="004010BA">
          <w:rPr>
            <w:b/>
            <w:bCs/>
            <w:sz w:val="24"/>
            <w:szCs w:val="24"/>
          </w:rPr>
          <w:fldChar w:fldCharType="begin"/>
        </w:r>
        <w:r w:rsidR="004010BA">
          <w:rPr>
            <w:b/>
            <w:bCs/>
          </w:rPr>
          <w:instrText xml:space="preserve"> NUMPAGES  </w:instrText>
        </w:r>
        <w:r w:rsidR="004010BA">
          <w:rPr>
            <w:b/>
            <w:bCs/>
            <w:sz w:val="24"/>
            <w:szCs w:val="24"/>
          </w:rPr>
          <w:fldChar w:fldCharType="separate"/>
        </w:r>
        <w:r w:rsidR="000F1D98">
          <w:rPr>
            <w:b/>
            <w:bCs/>
            <w:noProof/>
          </w:rPr>
          <w:t>6</w:t>
        </w:r>
        <w:r w:rsidR="004010BA">
          <w:rPr>
            <w:b/>
            <w:bCs/>
            <w:sz w:val="24"/>
            <w:szCs w:val="24"/>
          </w:rPr>
          <w:fldChar w:fldCharType="end"/>
        </w:r>
      </w:sdtContent>
    </w:sdt>
  </w:p>
  <w:p w14:paraId="5690E05F" w14:textId="77777777" w:rsidR="004010BA" w:rsidRDefault="004010B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AA2F09"/>
    <w:multiLevelType w:val="hybridMultilevel"/>
    <w:tmpl w:val="72721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F07"/>
    <w:rsid w:val="00001C07"/>
    <w:rsid w:val="00011283"/>
    <w:rsid w:val="00012319"/>
    <w:rsid w:val="0002041B"/>
    <w:rsid w:val="00027605"/>
    <w:rsid w:val="00052766"/>
    <w:rsid w:val="00056367"/>
    <w:rsid w:val="00074BCC"/>
    <w:rsid w:val="00084092"/>
    <w:rsid w:val="00085BFF"/>
    <w:rsid w:val="000B2CFE"/>
    <w:rsid w:val="000B52CF"/>
    <w:rsid w:val="000E180D"/>
    <w:rsid w:val="000E4B7C"/>
    <w:rsid w:val="000E4D20"/>
    <w:rsid w:val="000F1D98"/>
    <w:rsid w:val="0010334B"/>
    <w:rsid w:val="001178E6"/>
    <w:rsid w:val="001208F8"/>
    <w:rsid w:val="0012467F"/>
    <w:rsid w:val="00127DF9"/>
    <w:rsid w:val="001318F4"/>
    <w:rsid w:val="00140F71"/>
    <w:rsid w:val="00150FEB"/>
    <w:rsid w:val="001514B1"/>
    <w:rsid w:val="00153B06"/>
    <w:rsid w:val="00165D7B"/>
    <w:rsid w:val="001662A8"/>
    <w:rsid w:val="00181574"/>
    <w:rsid w:val="0018558F"/>
    <w:rsid w:val="001916D1"/>
    <w:rsid w:val="001A1A0A"/>
    <w:rsid w:val="001A3D7C"/>
    <w:rsid w:val="001A74F7"/>
    <w:rsid w:val="001B1361"/>
    <w:rsid w:val="001F15C6"/>
    <w:rsid w:val="0020225E"/>
    <w:rsid w:val="002101BC"/>
    <w:rsid w:val="00217792"/>
    <w:rsid w:val="0022083C"/>
    <w:rsid w:val="00224E22"/>
    <w:rsid w:val="00237019"/>
    <w:rsid w:val="002375FE"/>
    <w:rsid w:val="00246E97"/>
    <w:rsid w:val="002500E3"/>
    <w:rsid w:val="00253044"/>
    <w:rsid w:val="00262661"/>
    <w:rsid w:val="00274245"/>
    <w:rsid w:val="00280E8B"/>
    <w:rsid w:val="00286121"/>
    <w:rsid w:val="00287AFC"/>
    <w:rsid w:val="0029187C"/>
    <w:rsid w:val="00294B1E"/>
    <w:rsid w:val="002A525C"/>
    <w:rsid w:val="002A5BFF"/>
    <w:rsid w:val="002A5D7A"/>
    <w:rsid w:val="002B183E"/>
    <w:rsid w:val="002C2CB7"/>
    <w:rsid w:val="002C58A6"/>
    <w:rsid w:val="003048DB"/>
    <w:rsid w:val="00315244"/>
    <w:rsid w:val="0032060A"/>
    <w:rsid w:val="0032261C"/>
    <w:rsid w:val="003260EF"/>
    <w:rsid w:val="00326C83"/>
    <w:rsid w:val="00330445"/>
    <w:rsid w:val="00337D40"/>
    <w:rsid w:val="0034194B"/>
    <w:rsid w:val="003456AD"/>
    <w:rsid w:val="00351490"/>
    <w:rsid w:val="00354642"/>
    <w:rsid w:val="003548DD"/>
    <w:rsid w:val="003574FF"/>
    <w:rsid w:val="0036294A"/>
    <w:rsid w:val="00372796"/>
    <w:rsid w:val="003827BC"/>
    <w:rsid w:val="0038535C"/>
    <w:rsid w:val="003B648C"/>
    <w:rsid w:val="003E01BA"/>
    <w:rsid w:val="003E1D3A"/>
    <w:rsid w:val="003E240D"/>
    <w:rsid w:val="003F13A3"/>
    <w:rsid w:val="004010BA"/>
    <w:rsid w:val="00405074"/>
    <w:rsid w:val="00414485"/>
    <w:rsid w:val="0042666E"/>
    <w:rsid w:val="004377AD"/>
    <w:rsid w:val="00454977"/>
    <w:rsid w:val="00461D8C"/>
    <w:rsid w:val="004814AC"/>
    <w:rsid w:val="0048311E"/>
    <w:rsid w:val="00495DD6"/>
    <w:rsid w:val="00496878"/>
    <w:rsid w:val="004B0AC3"/>
    <w:rsid w:val="004B20C5"/>
    <w:rsid w:val="004E029C"/>
    <w:rsid w:val="004F1221"/>
    <w:rsid w:val="004F1679"/>
    <w:rsid w:val="0050086C"/>
    <w:rsid w:val="0050326E"/>
    <w:rsid w:val="00540B7A"/>
    <w:rsid w:val="00556690"/>
    <w:rsid w:val="00557A0E"/>
    <w:rsid w:val="00584192"/>
    <w:rsid w:val="00591AD4"/>
    <w:rsid w:val="00592644"/>
    <w:rsid w:val="00597461"/>
    <w:rsid w:val="005975E4"/>
    <w:rsid w:val="005A0963"/>
    <w:rsid w:val="005A0FF6"/>
    <w:rsid w:val="005A7F07"/>
    <w:rsid w:val="005B30EA"/>
    <w:rsid w:val="005D4FAE"/>
    <w:rsid w:val="00614EEB"/>
    <w:rsid w:val="006227F1"/>
    <w:rsid w:val="006269FD"/>
    <w:rsid w:val="00652C1F"/>
    <w:rsid w:val="00667D00"/>
    <w:rsid w:val="00675C0F"/>
    <w:rsid w:val="00680DAD"/>
    <w:rsid w:val="00682D93"/>
    <w:rsid w:val="006955ED"/>
    <w:rsid w:val="006A180F"/>
    <w:rsid w:val="006A5754"/>
    <w:rsid w:val="006C31F8"/>
    <w:rsid w:val="006C55FB"/>
    <w:rsid w:val="006E2DD6"/>
    <w:rsid w:val="006E46A3"/>
    <w:rsid w:val="006E616D"/>
    <w:rsid w:val="006F432B"/>
    <w:rsid w:val="00702B08"/>
    <w:rsid w:val="007114F5"/>
    <w:rsid w:val="007208F0"/>
    <w:rsid w:val="00732B5C"/>
    <w:rsid w:val="00766093"/>
    <w:rsid w:val="00773D65"/>
    <w:rsid w:val="007A72C9"/>
    <w:rsid w:val="007A7456"/>
    <w:rsid w:val="007B5206"/>
    <w:rsid w:val="007D49D8"/>
    <w:rsid w:val="007D6DB7"/>
    <w:rsid w:val="007F06A8"/>
    <w:rsid w:val="007F1C4C"/>
    <w:rsid w:val="00814207"/>
    <w:rsid w:val="0082312A"/>
    <w:rsid w:val="00826B5A"/>
    <w:rsid w:val="008328F0"/>
    <w:rsid w:val="00837036"/>
    <w:rsid w:val="0084495C"/>
    <w:rsid w:val="00855E28"/>
    <w:rsid w:val="00877D04"/>
    <w:rsid w:val="008A6654"/>
    <w:rsid w:val="008B2E9F"/>
    <w:rsid w:val="008D19F5"/>
    <w:rsid w:val="008D28B8"/>
    <w:rsid w:val="008D2EE6"/>
    <w:rsid w:val="008E24D0"/>
    <w:rsid w:val="008E7DB7"/>
    <w:rsid w:val="008F7A8E"/>
    <w:rsid w:val="009005D5"/>
    <w:rsid w:val="00963A1C"/>
    <w:rsid w:val="00982A0B"/>
    <w:rsid w:val="00983243"/>
    <w:rsid w:val="00983D3D"/>
    <w:rsid w:val="00987AB8"/>
    <w:rsid w:val="009C65B7"/>
    <w:rsid w:val="00A16D7C"/>
    <w:rsid w:val="00A2126E"/>
    <w:rsid w:val="00A26203"/>
    <w:rsid w:val="00A27D26"/>
    <w:rsid w:val="00A33C1E"/>
    <w:rsid w:val="00A43A69"/>
    <w:rsid w:val="00A45538"/>
    <w:rsid w:val="00A46D7B"/>
    <w:rsid w:val="00A7334A"/>
    <w:rsid w:val="00A76D57"/>
    <w:rsid w:val="00A76D5E"/>
    <w:rsid w:val="00A970C6"/>
    <w:rsid w:val="00AA4E86"/>
    <w:rsid w:val="00AA563B"/>
    <w:rsid w:val="00AF25A6"/>
    <w:rsid w:val="00B2497B"/>
    <w:rsid w:val="00B33A90"/>
    <w:rsid w:val="00B4736A"/>
    <w:rsid w:val="00B64963"/>
    <w:rsid w:val="00B73065"/>
    <w:rsid w:val="00B74035"/>
    <w:rsid w:val="00BA039D"/>
    <w:rsid w:val="00BA32FD"/>
    <w:rsid w:val="00BA7884"/>
    <w:rsid w:val="00BE16C1"/>
    <w:rsid w:val="00BF395F"/>
    <w:rsid w:val="00BF5611"/>
    <w:rsid w:val="00C07ACE"/>
    <w:rsid w:val="00C07FA9"/>
    <w:rsid w:val="00C11FC4"/>
    <w:rsid w:val="00C135C8"/>
    <w:rsid w:val="00C2584D"/>
    <w:rsid w:val="00C33F07"/>
    <w:rsid w:val="00C358BE"/>
    <w:rsid w:val="00C36F59"/>
    <w:rsid w:val="00C41351"/>
    <w:rsid w:val="00C41673"/>
    <w:rsid w:val="00C4171E"/>
    <w:rsid w:val="00C5321F"/>
    <w:rsid w:val="00C7644D"/>
    <w:rsid w:val="00C925D1"/>
    <w:rsid w:val="00CA7896"/>
    <w:rsid w:val="00CB5272"/>
    <w:rsid w:val="00CF2572"/>
    <w:rsid w:val="00D03854"/>
    <w:rsid w:val="00D13FD1"/>
    <w:rsid w:val="00D36015"/>
    <w:rsid w:val="00D64DF0"/>
    <w:rsid w:val="00D90B27"/>
    <w:rsid w:val="00D93C7B"/>
    <w:rsid w:val="00D94CA2"/>
    <w:rsid w:val="00DE41F0"/>
    <w:rsid w:val="00DF7911"/>
    <w:rsid w:val="00E06291"/>
    <w:rsid w:val="00E0636E"/>
    <w:rsid w:val="00E14E97"/>
    <w:rsid w:val="00E4231D"/>
    <w:rsid w:val="00E51FB1"/>
    <w:rsid w:val="00E66CF4"/>
    <w:rsid w:val="00E759F6"/>
    <w:rsid w:val="00E839F5"/>
    <w:rsid w:val="00E92A6B"/>
    <w:rsid w:val="00E92E9D"/>
    <w:rsid w:val="00EA5313"/>
    <w:rsid w:val="00EB1853"/>
    <w:rsid w:val="00EE714A"/>
    <w:rsid w:val="00F07601"/>
    <w:rsid w:val="00F20913"/>
    <w:rsid w:val="00F215D4"/>
    <w:rsid w:val="00F24637"/>
    <w:rsid w:val="00F25CDA"/>
    <w:rsid w:val="00F27D1E"/>
    <w:rsid w:val="00F34F44"/>
    <w:rsid w:val="00F4271A"/>
    <w:rsid w:val="00F50D8B"/>
    <w:rsid w:val="00F628E3"/>
    <w:rsid w:val="00F71CD0"/>
    <w:rsid w:val="00F7707E"/>
    <w:rsid w:val="00FA01B3"/>
    <w:rsid w:val="00FB280B"/>
    <w:rsid w:val="00FD33AD"/>
    <w:rsid w:val="00FD4E8A"/>
    <w:rsid w:val="00FD577A"/>
    <w:rsid w:val="00FF2F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FB7B1"/>
  <w15:chartTrackingRefBased/>
  <w15:docId w15:val="{A5AC2D8D-D5B6-4096-8543-1A5CA2CE4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7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5BFF"/>
    <w:pPr>
      <w:ind w:left="720"/>
      <w:contextualSpacing/>
    </w:pPr>
    <w:rPr>
      <w:lang w:val="en-US"/>
    </w:rPr>
  </w:style>
  <w:style w:type="paragraph" w:styleId="Header">
    <w:name w:val="header"/>
    <w:basedOn w:val="Normal"/>
    <w:link w:val="HeaderChar"/>
    <w:uiPriority w:val="99"/>
    <w:unhideWhenUsed/>
    <w:rsid w:val="004010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10BA"/>
  </w:style>
  <w:style w:type="paragraph" w:styleId="Footer">
    <w:name w:val="footer"/>
    <w:basedOn w:val="Normal"/>
    <w:link w:val="FooterChar"/>
    <w:uiPriority w:val="99"/>
    <w:unhideWhenUsed/>
    <w:rsid w:val="004010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10BA"/>
  </w:style>
  <w:style w:type="character" w:styleId="CommentReference">
    <w:name w:val="annotation reference"/>
    <w:basedOn w:val="DefaultParagraphFont"/>
    <w:uiPriority w:val="99"/>
    <w:semiHidden/>
    <w:unhideWhenUsed/>
    <w:rsid w:val="00BF5611"/>
    <w:rPr>
      <w:sz w:val="16"/>
      <w:szCs w:val="16"/>
    </w:rPr>
  </w:style>
  <w:style w:type="paragraph" w:styleId="CommentText">
    <w:name w:val="annotation text"/>
    <w:basedOn w:val="Normal"/>
    <w:link w:val="CommentTextChar"/>
    <w:uiPriority w:val="99"/>
    <w:semiHidden/>
    <w:unhideWhenUsed/>
    <w:rsid w:val="00BF5611"/>
    <w:pPr>
      <w:spacing w:line="240" w:lineRule="auto"/>
    </w:pPr>
    <w:rPr>
      <w:sz w:val="20"/>
      <w:szCs w:val="20"/>
    </w:rPr>
  </w:style>
  <w:style w:type="character" w:customStyle="1" w:styleId="CommentTextChar">
    <w:name w:val="Comment Text Char"/>
    <w:basedOn w:val="DefaultParagraphFont"/>
    <w:link w:val="CommentText"/>
    <w:uiPriority w:val="99"/>
    <w:semiHidden/>
    <w:rsid w:val="00BF5611"/>
    <w:rPr>
      <w:sz w:val="20"/>
      <w:szCs w:val="20"/>
    </w:rPr>
  </w:style>
  <w:style w:type="paragraph" w:styleId="CommentSubject">
    <w:name w:val="annotation subject"/>
    <w:basedOn w:val="CommentText"/>
    <w:next w:val="CommentText"/>
    <w:link w:val="CommentSubjectChar"/>
    <w:uiPriority w:val="99"/>
    <w:semiHidden/>
    <w:unhideWhenUsed/>
    <w:rsid w:val="00BF5611"/>
    <w:rPr>
      <w:b/>
      <w:bCs/>
    </w:rPr>
  </w:style>
  <w:style w:type="character" w:customStyle="1" w:styleId="CommentSubjectChar">
    <w:name w:val="Comment Subject Char"/>
    <w:basedOn w:val="CommentTextChar"/>
    <w:link w:val="CommentSubject"/>
    <w:uiPriority w:val="99"/>
    <w:semiHidden/>
    <w:rsid w:val="00BF5611"/>
    <w:rPr>
      <w:b/>
      <w:bCs/>
      <w:sz w:val="20"/>
      <w:szCs w:val="20"/>
    </w:rPr>
  </w:style>
  <w:style w:type="paragraph" w:styleId="BalloonText">
    <w:name w:val="Balloon Text"/>
    <w:basedOn w:val="Normal"/>
    <w:link w:val="BalloonTextChar"/>
    <w:uiPriority w:val="99"/>
    <w:semiHidden/>
    <w:unhideWhenUsed/>
    <w:rsid w:val="00BF56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56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dc:creator>
  <cp:keywords/>
  <dc:description/>
  <cp:lastModifiedBy>Sal</cp:lastModifiedBy>
  <cp:revision>5</cp:revision>
  <cp:lastPrinted>2021-07-20T11:35:00Z</cp:lastPrinted>
  <dcterms:created xsi:type="dcterms:W3CDTF">2021-11-25T12:34:00Z</dcterms:created>
  <dcterms:modified xsi:type="dcterms:W3CDTF">2021-11-25T13:03:00Z</dcterms:modified>
</cp:coreProperties>
</file>